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9B6E" w14:textId="6B07AE4B" w:rsidR="002C389D" w:rsidRPr="00AD1618" w:rsidRDefault="0011218C" w:rsidP="002C389D">
      <w:pPr>
        <w:shd w:val="clear" w:color="auto" w:fill="FFFFFF"/>
        <w:spacing w:after="0" w:line="240" w:lineRule="auto"/>
        <w:ind w:left="10620"/>
        <w:jc w:val="center"/>
        <w:rPr>
          <w:rFonts w:ascii="Times New Roman" w:eastAsia="Times New Roman" w:hAnsi="Times New Roman" w:cs="Times New Roman"/>
          <w:i/>
          <w:iCs/>
          <w:noProof/>
          <w:color w:val="333333"/>
          <w:sz w:val="24"/>
          <w:szCs w:val="24"/>
          <w:lang w:val="uz-Cyrl-UZ" w:eastAsia="ru-RU"/>
        </w:rPr>
      </w:pPr>
      <w:r w:rsidRPr="0011218C">
        <w:rPr>
          <w:rFonts w:ascii="Times New Roman" w:eastAsia="Times New Roman" w:hAnsi="Times New Roman" w:cs="Times New Roman"/>
          <w:i/>
          <w:iCs/>
          <w:noProof/>
          <w:color w:val="333333"/>
          <w:sz w:val="24"/>
          <w:szCs w:val="24"/>
          <w:lang w:val="uz-Cyrl-UZ" w:eastAsia="ru-RU"/>
        </w:rPr>
        <w:t xml:space="preserve">Sanitariya-epidemiologik osoyishtalik va </w:t>
      </w:r>
      <w:r>
        <w:rPr>
          <w:rFonts w:ascii="Times New Roman" w:eastAsia="Times New Roman" w:hAnsi="Times New Roman" w:cs="Times New Roman"/>
          <w:i/>
          <w:iCs/>
          <w:noProof/>
          <w:color w:val="333333"/>
          <w:sz w:val="24"/>
          <w:szCs w:val="24"/>
          <w:lang w:val="uz-Cyrl-UZ" w:eastAsia="ru-RU"/>
        </w:rPr>
        <w:t xml:space="preserve">jamoat salomatligi </w:t>
      </w:r>
      <w:r w:rsidR="00A63BB8">
        <w:rPr>
          <w:rFonts w:ascii="Times New Roman" w:eastAsia="Times New Roman" w:hAnsi="Times New Roman" w:cs="Times New Roman"/>
          <w:i/>
          <w:iCs/>
          <w:noProof/>
          <w:color w:val="333333"/>
          <w:sz w:val="24"/>
          <w:szCs w:val="24"/>
          <w:lang w:val="en-US" w:eastAsia="ru-RU"/>
        </w:rPr>
        <w:t>boshqarmas</w:t>
      </w:r>
      <w:bookmarkStart w:id="0" w:name="_GoBack"/>
      <w:bookmarkEnd w:id="0"/>
      <w:r>
        <w:rPr>
          <w:rFonts w:ascii="Times New Roman" w:eastAsia="Times New Roman" w:hAnsi="Times New Roman" w:cs="Times New Roman"/>
          <w:i/>
          <w:iCs/>
          <w:noProof/>
          <w:color w:val="333333"/>
          <w:sz w:val="24"/>
          <w:szCs w:val="24"/>
          <w:lang w:val="uz-Cyrl-UZ" w:eastAsia="ru-RU"/>
        </w:rPr>
        <w:t>i</w:t>
      </w:r>
      <w:r w:rsidR="002C389D">
        <w:rPr>
          <w:rFonts w:ascii="Times New Roman" w:eastAsia="Times New Roman" w:hAnsi="Times New Roman" w:cs="Times New Roman"/>
          <w:i/>
          <w:iCs/>
          <w:noProof/>
          <w:color w:val="333333"/>
          <w:sz w:val="24"/>
          <w:szCs w:val="24"/>
          <w:lang w:val="en-US" w:eastAsia="ru-RU"/>
        </w:rPr>
        <w:t>da</w:t>
      </w:r>
      <w:r w:rsidR="002C389D" w:rsidRPr="00AD1618">
        <w:rPr>
          <w:rFonts w:ascii="Times New Roman" w:eastAsia="Times New Roman" w:hAnsi="Times New Roman" w:cs="Times New Roman"/>
          <w:i/>
          <w:iCs/>
          <w:noProof/>
          <w:color w:val="333333"/>
          <w:sz w:val="24"/>
          <w:szCs w:val="24"/>
          <w:lang w:val="uz-Cyrl-UZ" w:eastAsia="ru-RU"/>
        </w:rPr>
        <w:t xml:space="preserve"> </w:t>
      </w:r>
      <w:r w:rsidR="002C389D">
        <w:rPr>
          <w:rFonts w:ascii="Times New Roman" w:eastAsia="Times New Roman" w:hAnsi="Times New Roman" w:cs="Times New Roman"/>
          <w:i/>
          <w:iCs/>
          <w:noProof/>
          <w:color w:val="333333"/>
          <w:sz w:val="24"/>
          <w:szCs w:val="24"/>
          <w:lang w:val="en-US" w:eastAsia="ru-RU"/>
        </w:rPr>
        <w:t>d</w:t>
      </w:r>
      <w:r w:rsidR="002C389D" w:rsidRPr="00AD1618">
        <w:rPr>
          <w:rFonts w:ascii="Times New Roman" w:eastAsia="Times New Roman" w:hAnsi="Times New Roman" w:cs="Times New Roman"/>
          <w:i/>
          <w:iCs/>
          <w:noProof/>
          <w:color w:val="333333"/>
          <w:sz w:val="24"/>
          <w:szCs w:val="24"/>
          <w:lang w:val="uz-Cyrl-UZ" w:eastAsia="ru-RU"/>
        </w:rPr>
        <w:t>avlat xaridlari ustidan nazoratni tashkil etish boʻyicha uslubiy qoʻllanmasiga</w:t>
      </w:r>
    </w:p>
    <w:p w14:paraId="4BADC445" w14:textId="77777777" w:rsidR="002C389D" w:rsidRPr="00AD1618" w:rsidRDefault="002C389D" w:rsidP="002C389D">
      <w:pPr>
        <w:shd w:val="clear" w:color="auto" w:fill="FFFFFF"/>
        <w:spacing w:after="0" w:line="240" w:lineRule="auto"/>
        <w:ind w:left="10620"/>
        <w:jc w:val="center"/>
        <w:rPr>
          <w:rFonts w:ascii="Times New Roman" w:eastAsia="Times New Roman" w:hAnsi="Times New Roman" w:cs="Times New Roman"/>
          <w:i/>
          <w:iCs/>
          <w:noProof/>
          <w:color w:val="333333"/>
          <w:sz w:val="24"/>
          <w:szCs w:val="24"/>
          <w:lang w:val="uz-Cyrl-UZ" w:eastAsia="ru-RU"/>
        </w:rPr>
      </w:pPr>
      <w:r w:rsidRPr="00AD1618">
        <w:rPr>
          <w:rFonts w:ascii="Times New Roman" w:eastAsia="Times New Roman" w:hAnsi="Times New Roman" w:cs="Times New Roman"/>
          <w:i/>
          <w:iCs/>
          <w:noProof/>
          <w:color w:val="333333"/>
          <w:sz w:val="24"/>
          <w:szCs w:val="24"/>
          <w:lang w:val="uz-Cyrl-UZ" w:eastAsia="ru-RU"/>
        </w:rPr>
        <w:t>1-Ilova</w:t>
      </w:r>
    </w:p>
    <w:p w14:paraId="644F67E7" w14:textId="77777777" w:rsidR="002C389D" w:rsidRPr="00AD1618" w:rsidRDefault="002C389D" w:rsidP="002C389D">
      <w:pPr>
        <w:pStyle w:val="a5"/>
        <w:tabs>
          <w:tab w:val="left" w:pos="851"/>
        </w:tabs>
        <w:spacing w:after="0"/>
        <w:ind w:right="-2" w:firstLine="567"/>
        <w:jc w:val="right"/>
        <w:rPr>
          <w:rFonts w:eastAsia="Calibri"/>
          <w:b/>
          <w:bCs/>
          <w:i/>
          <w:iCs/>
          <w:caps/>
          <w:noProof/>
          <w:sz w:val="24"/>
          <w:szCs w:val="24"/>
          <w:lang w:val="uz-Cyrl-UZ" w:eastAsia="ru-RU"/>
        </w:rPr>
      </w:pPr>
    </w:p>
    <w:p w14:paraId="5551E4C7" w14:textId="77777777" w:rsidR="002C389D" w:rsidRPr="00AD1618" w:rsidRDefault="002C389D" w:rsidP="002C389D">
      <w:pPr>
        <w:pStyle w:val="leading-8"/>
        <w:spacing w:before="0" w:beforeAutospacing="0" w:after="0" w:afterAutospacing="0"/>
        <w:jc w:val="center"/>
        <w:rPr>
          <w:b/>
          <w:bCs/>
          <w:noProof/>
          <w:sz w:val="28"/>
          <w:szCs w:val="28"/>
        </w:rPr>
      </w:pPr>
      <w:r w:rsidRPr="00AD1618">
        <w:rPr>
          <w:b/>
          <w:bCs/>
          <w:noProof/>
          <w:sz w:val="28"/>
          <w:szCs w:val="28"/>
        </w:rPr>
        <w:t>DAVLAT XARIDLARINI NAZORAT QILISHNING ASOSIY YOʻNALISHLARI VA MASALALARI</w:t>
      </w:r>
    </w:p>
    <w:p w14:paraId="41C29AA8" w14:textId="77777777" w:rsidR="002C389D" w:rsidRDefault="002C389D" w:rsidP="002C389D">
      <w:pPr>
        <w:shd w:val="clear" w:color="auto" w:fill="FFFFFF"/>
        <w:spacing w:after="0" w:line="240" w:lineRule="auto"/>
        <w:jc w:val="both"/>
        <w:rPr>
          <w:rFonts w:ascii="Times New Roman" w:eastAsia="Times New Roman" w:hAnsi="Times New Roman" w:cs="Times New Roman"/>
          <w:noProof/>
          <w:color w:val="333333"/>
          <w:sz w:val="28"/>
          <w:szCs w:val="28"/>
          <w:lang w:val="uz-Cyrl-UZ" w:eastAsia="ru-RU"/>
        </w:rPr>
      </w:pPr>
    </w:p>
    <w:p w14:paraId="61B3FC3E" w14:textId="77777777" w:rsidR="002C389D" w:rsidRPr="00AD1618" w:rsidRDefault="002C389D" w:rsidP="002C389D">
      <w:pPr>
        <w:shd w:val="clear" w:color="auto" w:fill="FFFFFF"/>
        <w:spacing w:after="0" w:line="240" w:lineRule="auto"/>
        <w:jc w:val="both"/>
        <w:rPr>
          <w:rFonts w:ascii="Times New Roman" w:hAnsi="Times New Roman" w:cs="Times New Roman"/>
          <w:noProof/>
          <w:color w:val="333333"/>
          <w:sz w:val="28"/>
          <w:szCs w:val="28"/>
          <w:u w:val="single"/>
          <w:lang w:val="uz-Cyrl-UZ" w:eastAsia="ru-RU"/>
        </w:rPr>
      </w:pPr>
      <w:r w:rsidRPr="00AD1618">
        <w:rPr>
          <w:rFonts w:ascii="Times New Roman" w:eastAsia="Times New Roman" w:hAnsi="Times New Roman" w:cs="Times New Roman"/>
          <w:noProof/>
          <w:color w:val="333333"/>
          <w:sz w:val="28"/>
          <w:szCs w:val="28"/>
          <w:lang w:val="uz-Cyrl-UZ" w:eastAsia="ru-RU"/>
        </w:rPr>
        <w:t xml:space="preserve">Monitoring oʻtkaziladigan </w:t>
      </w:r>
      <w:r w:rsidRPr="00AD1618">
        <w:rPr>
          <w:rFonts w:ascii="Times New Roman" w:hAnsi="Times New Roman" w:cs="Times New Roman"/>
          <w:noProof/>
          <w:color w:val="333333"/>
          <w:sz w:val="28"/>
          <w:szCs w:val="28"/>
          <w:lang w:val="uz-Cyrl-UZ" w:eastAsia="ru-RU"/>
        </w:rPr>
        <w:t xml:space="preserve">tashkilotning nomi </w:t>
      </w:r>
      <w:r w:rsidRPr="00AD1618">
        <w:rPr>
          <w:rFonts w:ascii="Times New Roman" w:hAnsi="Times New Roman" w:cs="Times New Roman"/>
          <w:noProof/>
          <w:color w:val="333333"/>
          <w:sz w:val="28"/>
          <w:szCs w:val="28"/>
          <w:u w:val="single"/>
          <w:lang w:val="uz-Cyrl-UZ" w:eastAsia="ru-RU"/>
        </w:rPr>
        <w:t>_____________________________________</w:t>
      </w:r>
    </w:p>
    <w:p w14:paraId="50E0AEDD" w14:textId="77777777" w:rsidR="002C389D" w:rsidRPr="00AD1618" w:rsidRDefault="002C389D" w:rsidP="002C389D">
      <w:pPr>
        <w:pStyle w:val="leading-8"/>
        <w:spacing w:before="0" w:beforeAutospacing="0" w:after="0" w:afterAutospacing="0"/>
        <w:rPr>
          <w:noProof/>
          <w:color w:val="333333"/>
          <w:sz w:val="28"/>
          <w:szCs w:val="28"/>
          <w:lang w:eastAsia="ru-RU"/>
        </w:rPr>
      </w:pPr>
      <w:r w:rsidRPr="00AD1618">
        <w:rPr>
          <w:noProof/>
          <w:sz w:val="28"/>
          <w:szCs w:val="28"/>
        </w:rPr>
        <w:t>Monitoringni oʻtkazish muddatlari:</w:t>
      </w:r>
      <w:r w:rsidRPr="00AD1618">
        <w:rPr>
          <w:noProof/>
          <w:color w:val="333333"/>
          <w:sz w:val="28"/>
          <w:szCs w:val="28"/>
          <w:lang w:eastAsia="ru-RU"/>
        </w:rPr>
        <w:t>“     ” ______ 202__ dan  “     ” ______ 202_yilgacha</w:t>
      </w:r>
    </w:p>
    <w:p w14:paraId="56A1340B" w14:textId="77777777" w:rsidR="002C389D" w:rsidRPr="00AD1618" w:rsidRDefault="002C389D" w:rsidP="002C389D">
      <w:pPr>
        <w:shd w:val="clear" w:color="auto" w:fill="FFFFFF"/>
        <w:spacing w:after="0" w:line="240" w:lineRule="auto"/>
        <w:jc w:val="both"/>
        <w:rPr>
          <w:rFonts w:ascii="Times New Roman" w:eastAsia="Times New Roman" w:hAnsi="Times New Roman" w:cs="Times New Roman"/>
          <w:noProof/>
          <w:color w:val="333333"/>
          <w:sz w:val="28"/>
          <w:szCs w:val="28"/>
          <w:lang w:val="uz-Cyrl-UZ" w:eastAsia="ru-RU"/>
        </w:rPr>
      </w:pPr>
    </w:p>
    <w:tbl>
      <w:tblPr>
        <w:tblW w:w="15158"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07"/>
        <w:gridCol w:w="5646"/>
        <w:gridCol w:w="4805"/>
        <w:gridCol w:w="4100"/>
      </w:tblGrid>
      <w:tr w:rsidR="002C389D" w:rsidRPr="00AD1618" w14:paraId="417F5A45" w14:textId="77777777" w:rsidTr="000C5F02">
        <w:trPr>
          <w:tblHeader/>
          <w:jc w:val="center"/>
        </w:trPr>
        <w:tc>
          <w:tcPr>
            <w:tcW w:w="6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566916" w14:textId="77777777" w:rsidR="002C389D" w:rsidRPr="00AD1618" w:rsidRDefault="002C389D" w:rsidP="000C5F02">
            <w:pPr>
              <w:spacing w:after="0" w:line="240" w:lineRule="auto"/>
              <w:jc w:val="center"/>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b/>
                <w:bCs/>
                <w:noProof/>
                <w:sz w:val="28"/>
                <w:szCs w:val="28"/>
                <w:lang w:val="uz-Cyrl-UZ" w:eastAsia="ru-RU"/>
              </w:rPr>
              <w:t>№ p/p</w:t>
            </w:r>
          </w:p>
        </w:tc>
        <w:tc>
          <w:tcPr>
            <w:tcW w:w="56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0A115C" w14:textId="77777777" w:rsidR="002C389D" w:rsidRPr="00AD1618" w:rsidRDefault="002C389D" w:rsidP="000C5F02">
            <w:pPr>
              <w:pStyle w:val="leading-8"/>
              <w:spacing w:before="0" w:beforeAutospacing="0" w:after="0" w:afterAutospacing="0"/>
              <w:jc w:val="both"/>
              <w:rPr>
                <w:b/>
                <w:bCs/>
                <w:noProof/>
                <w:sz w:val="28"/>
                <w:szCs w:val="28"/>
              </w:rPr>
            </w:pPr>
            <w:r w:rsidRPr="00AD1618">
              <w:rPr>
                <w:noProof/>
                <w:sz w:val="28"/>
                <w:szCs w:val="28"/>
              </w:rPr>
              <w:t xml:space="preserve">           </w:t>
            </w:r>
            <w:r w:rsidRPr="00AD1618">
              <w:rPr>
                <w:b/>
                <w:bCs/>
                <w:noProof/>
                <w:sz w:val="28"/>
                <w:szCs w:val="28"/>
              </w:rPr>
              <w:t>Tadbirlar (taomillar) roʻyxati</w:t>
            </w:r>
          </w:p>
        </w:tc>
        <w:tc>
          <w:tcPr>
            <w:tcW w:w="4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48E23E" w14:textId="77777777" w:rsidR="002C389D" w:rsidRPr="00AD1618" w:rsidRDefault="002C389D" w:rsidP="000C5F02">
            <w:pPr>
              <w:spacing w:after="0" w:line="240" w:lineRule="auto"/>
              <w:jc w:val="center"/>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b/>
                <w:bCs/>
                <w:noProof/>
                <w:sz w:val="28"/>
                <w:szCs w:val="28"/>
                <w:lang w:val="uz-Cyrl-UZ" w:eastAsia="ru-RU"/>
              </w:rPr>
              <w:t>Koʻrib chiqilishi lozim boʻlgan masalalar</w:t>
            </w:r>
          </w:p>
        </w:tc>
        <w:tc>
          <w:tcPr>
            <w:tcW w:w="4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1C5897" w14:textId="77777777" w:rsidR="002C389D" w:rsidRPr="00AD1618" w:rsidRDefault="002C389D" w:rsidP="000C5F02">
            <w:pPr>
              <w:spacing w:after="0" w:line="240" w:lineRule="auto"/>
              <w:jc w:val="center"/>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b/>
                <w:bCs/>
                <w:noProof/>
                <w:sz w:val="28"/>
                <w:szCs w:val="28"/>
                <w:lang w:val="uz-Cyrl-UZ" w:eastAsia="ru-RU"/>
              </w:rPr>
              <w:t>Izohlar</w:t>
            </w:r>
          </w:p>
        </w:tc>
      </w:tr>
      <w:tr w:rsidR="002C389D" w:rsidRPr="00A63BB8" w14:paraId="0D5C680A"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B6D27F"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B62C46"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Lot raqami va xarid qilinadigan tovarlar (ishlar, xizmatlar) nomi</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CD66F9"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F44DE0"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p>
        </w:tc>
      </w:tr>
      <w:tr w:rsidR="002C389D" w:rsidRPr="00A63BB8" w14:paraId="5410D1FF"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0FFD0F"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6BEF7B"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 qilish xarajatlarining maqsadga muvofiqligi va asosliligini tekshirish, tahlil qilish va baholash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F230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 Xarid obyektining tavsifi mavjudmi?</w:t>
            </w:r>
          </w:p>
          <w:p w14:paraId="517F286B"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 Xaridni moliyaviy taʼminlash shartlariga rioya qilinganmi?</w:t>
            </w:r>
          </w:p>
          <w:p w14:paraId="163E7427"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 Yagona yetkazib beruvchi bilan tuzilgan kontraktning boshlangʻich narxi asoslanganmi?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FAC97E"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p>
        </w:tc>
      </w:tr>
      <w:tr w:rsidR="002C389D" w:rsidRPr="00A63BB8" w14:paraId="62D633CD"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54FAC8"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2587A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Xaridning oʻz vaqtida oʻtkazilishini tekshirish, tahlil qilish va baholash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D1BF9A"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 Buyurtmachi tomonidan kontraktni amalga oshirish uchun yetarli boʻlgan muddatlarga rioya qilinganligi, shu jumladan kontrakt boʻyicha hisob-kitoblarning oʻz vaqtida amalga oshirilganligi.</w:t>
            </w:r>
          </w:p>
          <w:p w14:paraId="1EB037C3"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 Yil davomida xaridlarni rejalashtirish asoslanganmi?</w:t>
            </w:r>
          </w:p>
          <w:p w14:paraId="6957EBE2"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 Xarid muddatlari toʻgʻri koʻrsatilganmi?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01383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Ishlarning mavsumiyligi, ayrim turdagi tovarlar, ishlar, xizmatlar ishlab chiqarish siklining davomiyligi, shuningdek tovarlar, ishlar va xizmatlarni qabul qilishni amalga oshirish uchun yetkazib beruvchiga kamchiliklarni bartaraf etish imkonini beradigan vaqt zaxirasining mavjudligini hisobga olish kerak.</w:t>
            </w:r>
          </w:p>
        </w:tc>
      </w:tr>
      <w:tr w:rsidR="002C389D" w:rsidRPr="00A63BB8" w14:paraId="47297868" w14:textId="77777777" w:rsidTr="000C5F02">
        <w:trPr>
          <w:trHeight w:val="2627"/>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8E24B3"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lastRenderedPageBreak/>
              <w:t>4</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2D014"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 qilish xarajatlari samaradorligini tekshirish, tahlil qilish va baholash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955C11"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 Raqobatni cheklashga yordam beradigan omillar mavjudmi?</w:t>
            </w:r>
          </w:p>
          <w:p w14:paraId="74F9D8FB"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 Nechta yetkazib beruvchidan xarid hajmi rejalashtirilgan?</w:t>
            </w:r>
          </w:p>
          <w:p w14:paraId="30060919"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 Hujjatlarda xarid ishtirokchilariga nisbatan raqobatni cheklashga olib keladigan talablar mavjudmi?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97DDEB"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Xaridning barcha bosqichlarida byudjet mablagʻlarini tejash mumkin boʻlgan summaga eʼtibor qaratish lozim.</w:t>
            </w:r>
          </w:p>
        </w:tc>
      </w:tr>
      <w:tr w:rsidR="002C389D" w:rsidRPr="00A63BB8" w14:paraId="5401F627"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FD0753"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5</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0EB0F4"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 qilish xarajatlari natijadorligini tekshirish, tahlil qilish va baholash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A74426"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 Yetkazib berilgan tovarlar, ishlar yoki xizmatlar kontraktda belgilangan talablarga javob beradimi?</w:t>
            </w:r>
          </w:p>
          <w:p w14:paraId="43EE58E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 Natijalar ekspertizasi, kontraktni bajarishning alohida bosqichi natijalari toʻgʻrisidagi hisobot mavjudmi?</w:t>
            </w:r>
          </w:p>
          <w:p w14:paraId="29D52308"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 Kontrakt boʻyicha javobgarlik choralari va taʼminlash choralari qoʻllanilganmi?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ADBB93"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Byudjet mablagʻlaridan foydalanishning rejalashtirilgan va erishilgan natijalari taqqoslanadi.</w:t>
            </w:r>
          </w:p>
        </w:tc>
      </w:tr>
      <w:tr w:rsidR="002C389D" w:rsidRPr="00A63BB8" w14:paraId="21EF8400"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4D2AD4"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6</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71001A"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Xaridni amalga oshirish va xarajatlarni aniqlashning qonuniyligini tekshirish.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1DAD4D"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1. Xaridlarni amalga oshirishda imtiyozlar berish boʻyicha talablarga rioya qilinganmi?</w:t>
            </w:r>
          </w:p>
          <w:p w14:paraId="048E443C"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2. Xaridlarning, shu jumladan yagona yetkazib beruvchida amalga oshiriladigan xaridlarning cheklangan hajmlari boʻyicha qonun hujjatlari talablariga rioya qilinganmi?</w:t>
            </w:r>
          </w:p>
          <w:p w14:paraId="60DC5C6E"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3. Yetkazib beruvchini aniqlashning tanlangan usuli Qonunga muvofiqmi?</w:t>
            </w:r>
          </w:p>
          <w:p w14:paraId="00D2CF5E"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lastRenderedPageBreak/>
              <w:t>4. Kontraktning bekor qilinishi qonunda belgilangan tartibda amalga oshirilganmi?</w:t>
            </w:r>
          </w:p>
          <w:p w14:paraId="3269EFBD"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5. Kontraktda barcha majburiy shartlar mavjudmi?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1EEE0B"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lastRenderedPageBreak/>
              <w:t>Buyurtmachi, vakolatli shaxs, kontrakt xizmati, xaridlarni amalga oshirish boʻyicha komissiya va boshqalarning faoliyati baholanadi.</w:t>
            </w:r>
          </w:p>
          <w:p w14:paraId="2E9EECCF"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Maʼmuriy huquqbuzarlik alomatlari mavjud boʻlgan huquqbuzarliklar aniqlanganda, tegishli maʼlumotlar taʼsir choralarini koʻrish uchun xaridlar sohasidagi nazorat organlariga yuboriladi.</w:t>
            </w:r>
          </w:p>
        </w:tc>
      </w:tr>
      <w:tr w:rsidR="002C389D" w:rsidRPr="00A63BB8" w14:paraId="6923AC7A"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A7B812"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7</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4D7859"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Noqonuniy harakatlar alomatlarini aniqlash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0EBC7C"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Bu monitoringning maqsadi hisoblanmaydi, ammo qonun hujjatlari buzilishi bilan bogʻliq xavf omili hisobga olinadi, bu esa qonun hujjatlariga muvofiq javob choralarini koʻrish zaruratini keltirib chiqarishi mumkin.</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1A5D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Aniqlangan holatlar yuzasidan tegishli huquqni muhofaza qiluvchi organlarga murojaat qilish mumkin.</w:t>
            </w:r>
          </w:p>
        </w:tc>
      </w:tr>
      <w:tr w:rsidR="002C389D" w:rsidRPr="00A63BB8" w14:paraId="636A01E3"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9CA4D5"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8</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6C310E"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Dalillarni baholash</w:t>
            </w:r>
          </w:p>
        </w:tc>
        <w:tc>
          <w:tcPr>
            <w:tcW w:w="4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A2D055"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Monitoringni amalga oshiruvchi shaxs olingan dalillarni baholaydi, ularning yetarli va lozimligini aniqlaydi.</w:t>
            </w:r>
          </w:p>
          <w:p w14:paraId="1A1F3C73"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Shuningdek, qonun hujjatlari talablariga nomuvofiqlik jiddiymi? Bunda tegishli hujjatlarning ahamiyati eʼtiborga olinadi.</w:t>
            </w:r>
          </w:p>
          <w:p w14:paraId="3B5ECD16"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Raqamli koʻrsatkichlar, holatlar, nomuvofiqlikning xususiyati va sababi, nomuvofiqlikning ehtimoliy natijalari va oqibatlari, talablarga nomuvofiqlikning koʻlami yoki moliyaviy bahosi</w:t>
            </w:r>
          </w:p>
        </w:tc>
        <w:tc>
          <w:tcPr>
            <w:tcW w:w="4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EE9F82"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Dalillarni baholash va tekshirish monitoringi natijalarini shakllantirish jarayonida ularni turli maʼlumotlar manbalari boʻyicha qayta tekshirish mumkin.</w:t>
            </w:r>
          </w:p>
        </w:tc>
      </w:tr>
      <w:tr w:rsidR="002C389D" w:rsidRPr="00A63BB8" w14:paraId="724AA639" w14:textId="77777777" w:rsidTr="000C5F02">
        <w:trPr>
          <w:jc w:val="center"/>
        </w:trPr>
        <w:tc>
          <w:tcPr>
            <w:tcW w:w="6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D73C20" w14:textId="77777777" w:rsidR="002C389D" w:rsidRPr="00AD1618" w:rsidRDefault="002C389D" w:rsidP="000C5F02">
            <w:pPr>
              <w:spacing w:after="0" w:line="240" w:lineRule="auto"/>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9</w:t>
            </w:r>
          </w:p>
        </w:tc>
        <w:tc>
          <w:tcPr>
            <w:tcW w:w="5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A8F97"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Xaridlar sohasida monitoring natijalarini rasmiylashtirish</w:t>
            </w:r>
          </w:p>
        </w:tc>
        <w:tc>
          <w:tcPr>
            <w:tcW w:w="89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D33FFC" w14:textId="77777777" w:rsidR="002C389D" w:rsidRPr="00AD1618" w:rsidRDefault="002C389D" w:rsidP="000C5F02">
            <w:pPr>
              <w:spacing w:after="0" w:line="240" w:lineRule="auto"/>
              <w:jc w:val="both"/>
              <w:rPr>
                <w:rFonts w:ascii="Times New Roman" w:eastAsia="Times New Roman" w:hAnsi="Times New Roman" w:cs="Times New Roman"/>
                <w:noProof/>
                <w:sz w:val="28"/>
                <w:szCs w:val="28"/>
                <w:lang w:val="uz-Cyrl-UZ" w:eastAsia="ru-RU"/>
              </w:rPr>
            </w:pPr>
            <w:r w:rsidRPr="00AD1618">
              <w:rPr>
                <w:rFonts w:ascii="Times New Roman" w:eastAsia="Times New Roman" w:hAnsi="Times New Roman" w:cs="Times New Roman"/>
                <w:noProof/>
                <w:sz w:val="28"/>
                <w:szCs w:val="28"/>
                <w:lang w:val="uz-Cyrl-UZ" w:eastAsia="ru-RU"/>
              </w:rPr>
              <w:t>Xaridlar sohasidagi monitoring natijalari xaridlar xarajatlarining qonuniyligi, maqsadga muvofiqligi, asoslanganligi, oʻz vaqtida amalga oshirilishi, samaradorligi va natijadorligi toʻgʻrisidagi batafsil axborotni, monitoring natijalari boʻyicha xulosalar va takliflarni, shu jumladan ehtimoliy oqibatlarni oʻz ichiga olishi maqsadga muvofiqdir.</w:t>
            </w:r>
          </w:p>
        </w:tc>
      </w:tr>
    </w:tbl>
    <w:p w14:paraId="34D7D4B7" w14:textId="77777777" w:rsidR="002C389D" w:rsidRPr="00AD1618" w:rsidRDefault="002C389D" w:rsidP="002C389D">
      <w:pPr>
        <w:spacing w:after="0" w:line="240" w:lineRule="auto"/>
        <w:rPr>
          <w:rFonts w:ascii="Times New Roman" w:hAnsi="Times New Roman" w:cs="Times New Roman"/>
          <w:noProof/>
          <w:sz w:val="28"/>
          <w:szCs w:val="28"/>
          <w:lang w:val="uz-Cyrl-UZ"/>
        </w:rPr>
      </w:pPr>
    </w:p>
    <w:p w14:paraId="51F21738" w14:textId="77777777" w:rsidR="00AD1618" w:rsidRPr="002C389D" w:rsidRDefault="00AD1618" w:rsidP="002C389D">
      <w:pPr>
        <w:rPr>
          <w:lang w:val="uz-Cyrl-UZ"/>
        </w:rPr>
      </w:pPr>
    </w:p>
    <w:sectPr w:rsidR="00AD1618" w:rsidRPr="002C389D" w:rsidSect="00AD1618">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C7"/>
    <w:rsid w:val="0011218C"/>
    <w:rsid w:val="001139C7"/>
    <w:rsid w:val="001C1013"/>
    <w:rsid w:val="001D3267"/>
    <w:rsid w:val="00253C94"/>
    <w:rsid w:val="002B7878"/>
    <w:rsid w:val="002C389D"/>
    <w:rsid w:val="0032723C"/>
    <w:rsid w:val="00457E20"/>
    <w:rsid w:val="004847AF"/>
    <w:rsid w:val="006B090C"/>
    <w:rsid w:val="00722808"/>
    <w:rsid w:val="007F61A7"/>
    <w:rsid w:val="00884B46"/>
    <w:rsid w:val="008C7C77"/>
    <w:rsid w:val="00935E23"/>
    <w:rsid w:val="009835ED"/>
    <w:rsid w:val="00985AF9"/>
    <w:rsid w:val="00A63BB8"/>
    <w:rsid w:val="00A85C6F"/>
    <w:rsid w:val="00AA0AF5"/>
    <w:rsid w:val="00AD1618"/>
    <w:rsid w:val="00B44BC4"/>
    <w:rsid w:val="00BA4815"/>
    <w:rsid w:val="00BF61AE"/>
    <w:rsid w:val="00CE6F4A"/>
    <w:rsid w:val="00D264DF"/>
    <w:rsid w:val="00D7077B"/>
    <w:rsid w:val="00DA6AD8"/>
    <w:rsid w:val="00EC2597"/>
    <w:rsid w:val="00F44CCE"/>
    <w:rsid w:val="00F670B0"/>
    <w:rsid w:val="00FE7D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AE46"/>
  <w15:chartTrackingRefBased/>
  <w15:docId w15:val="{A26A59AE-A434-4105-AC17-CC54C258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9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ing-8">
    <w:name w:val="leading-8"/>
    <w:basedOn w:val="a"/>
    <w:rsid w:val="001139C7"/>
    <w:pPr>
      <w:spacing w:before="100" w:beforeAutospacing="1" w:after="100" w:afterAutospacing="1" w:line="240" w:lineRule="auto"/>
    </w:pPr>
    <w:rPr>
      <w:rFonts w:ascii="Times New Roman" w:eastAsia="Times New Roman" w:hAnsi="Times New Roman" w:cs="Times New Roman"/>
      <w:sz w:val="24"/>
      <w:szCs w:val="24"/>
      <w:lang w:val="uz-Cyrl-UZ" w:eastAsia="uz-Cyrl-UZ"/>
    </w:rPr>
  </w:style>
  <w:style w:type="paragraph" w:styleId="a3">
    <w:name w:val="No Spacing"/>
    <w:uiPriority w:val="1"/>
    <w:qFormat/>
    <w:rsid w:val="00BA4815"/>
    <w:pPr>
      <w:spacing w:after="0" w:line="240" w:lineRule="auto"/>
    </w:pPr>
    <w:rPr>
      <w:lang w:val="ru-RU"/>
    </w:rPr>
  </w:style>
  <w:style w:type="paragraph" w:styleId="a4">
    <w:name w:val="Normal (Web)"/>
    <w:basedOn w:val="a"/>
    <w:uiPriority w:val="99"/>
    <w:semiHidden/>
    <w:unhideWhenUsed/>
    <w:rsid w:val="00253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AA0AF5"/>
    <w:pPr>
      <w:spacing w:after="120" w:line="240" w:lineRule="auto"/>
      <w:ind w:firstLine="709"/>
      <w:jc w:val="both"/>
    </w:pPr>
    <w:rPr>
      <w:rFonts w:ascii="Times New Roman" w:eastAsia="Times New Roman" w:hAnsi="Times New Roman" w:cs="Times New Roman"/>
      <w:sz w:val="28"/>
    </w:rPr>
  </w:style>
  <w:style w:type="character" w:customStyle="1" w:styleId="a6">
    <w:name w:val="Основной текст Знак"/>
    <w:basedOn w:val="a0"/>
    <w:link w:val="a5"/>
    <w:semiHidden/>
    <w:rsid w:val="00AA0AF5"/>
    <w:rPr>
      <w:rFonts w:ascii="Times New Roman" w:eastAsia="Times New Roman"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0427">
      <w:bodyDiv w:val="1"/>
      <w:marLeft w:val="0"/>
      <w:marRight w:val="0"/>
      <w:marTop w:val="0"/>
      <w:marBottom w:val="0"/>
      <w:divBdr>
        <w:top w:val="none" w:sz="0" w:space="0" w:color="auto"/>
        <w:left w:val="none" w:sz="0" w:space="0" w:color="auto"/>
        <w:bottom w:val="none" w:sz="0" w:space="0" w:color="auto"/>
        <w:right w:val="none" w:sz="0" w:space="0" w:color="auto"/>
      </w:divBdr>
    </w:div>
    <w:div w:id="426461447">
      <w:bodyDiv w:val="1"/>
      <w:marLeft w:val="0"/>
      <w:marRight w:val="0"/>
      <w:marTop w:val="0"/>
      <w:marBottom w:val="0"/>
      <w:divBdr>
        <w:top w:val="none" w:sz="0" w:space="0" w:color="auto"/>
        <w:left w:val="none" w:sz="0" w:space="0" w:color="auto"/>
        <w:bottom w:val="none" w:sz="0" w:space="0" w:color="auto"/>
        <w:right w:val="none" w:sz="0" w:space="0" w:color="auto"/>
      </w:divBdr>
    </w:div>
    <w:div w:id="654796185">
      <w:bodyDiv w:val="1"/>
      <w:marLeft w:val="0"/>
      <w:marRight w:val="0"/>
      <w:marTop w:val="0"/>
      <w:marBottom w:val="0"/>
      <w:divBdr>
        <w:top w:val="none" w:sz="0" w:space="0" w:color="auto"/>
        <w:left w:val="none" w:sz="0" w:space="0" w:color="auto"/>
        <w:bottom w:val="none" w:sz="0" w:space="0" w:color="auto"/>
        <w:right w:val="none" w:sz="0" w:space="0" w:color="auto"/>
      </w:divBdr>
    </w:div>
    <w:div w:id="867794705">
      <w:bodyDiv w:val="1"/>
      <w:marLeft w:val="0"/>
      <w:marRight w:val="0"/>
      <w:marTop w:val="0"/>
      <w:marBottom w:val="0"/>
      <w:divBdr>
        <w:top w:val="none" w:sz="0" w:space="0" w:color="auto"/>
        <w:left w:val="none" w:sz="0" w:space="0" w:color="auto"/>
        <w:bottom w:val="none" w:sz="0" w:space="0" w:color="auto"/>
        <w:right w:val="none" w:sz="0" w:space="0" w:color="auto"/>
      </w:divBdr>
    </w:div>
    <w:div w:id="1014840417">
      <w:bodyDiv w:val="1"/>
      <w:marLeft w:val="0"/>
      <w:marRight w:val="0"/>
      <w:marTop w:val="0"/>
      <w:marBottom w:val="0"/>
      <w:divBdr>
        <w:top w:val="none" w:sz="0" w:space="0" w:color="auto"/>
        <w:left w:val="none" w:sz="0" w:space="0" w:color="auto"/>
        <w:bottom w:val="none" w:sz="0" w:space="0" w:color="auto"/>
        <w:right w:val="none" w:sz="0" w:space="0" w:color="auto"/>
      </w:divBdr>
    </w:div>
    <w:div w:id="1177963983">
      <w:bodyDiv w:val="1"/>
      <w:marLeft w:val="0"/>
      <w:marRight w:val="0"/>
      <w:marTop w:val="0"/>
      <w:marBottom w:val="0"/>
      <w:divBdr>
        <w:top w:val="none" w:sz="0" w:space="0" w:color="auto"/>
        <w:left w:val="none" w:sz="0" w:space="0" w:color="auto"/>
        <w:bottom w:val="none" w:sz="0" w:space="0" w:color="auto"/>
        <w:right w:val="none" w:sz="0" w:space="0" w:color="auto"/>
      </w:divBdr>
    </w:div>
    <w:div w:id="1519613245">
      <w:bodyDiv w:val="1"/>
      <w:marLeft w:val="0"/>
      <w:marRight w:val="0"/>
      <w:marTop w:val="0"/>
      <w:marBottom w:val="0"/>
      <w:divBdr>
        <w:top w:val="none" w:sz="0" w:space="0" w:color="auto"/>
        <w:left w:val="none" w:sz="0" w:space="0" w:color="auto"/>
        <w:bottom w:val="none" w:sz="0" w:space="0" w:color="auto"/>
        <w:right w:val="none" w:sz="0" w:space="0" w:color="auto"/>
      </w:divBdr>
    </w:div>
    <w:div w:id="1705709911">
      <w:bodyDiv w:val="1"/>
      <w:marLeft w:val="0"/>
      <w:marRight w:val="0"/>
      <w:marTop w:val="0"/>
      <w:marBottom w:val="0"/>
      <w:divBdr>
        <w:top w:val="none" w:sz="0" w:space="0" w:color="auto"/>
        <w:left w:val="none" w:sz="0" w:space="0" w:color="auto"/>
        <w:bottom w:val="none" w:sz="0" w:space="0" w:color="auto"/>
        <w:right w:val="none" w:sz="0" w:space="0" w:color="auto"/>
      </w:divBdr>
    </w:div>
    <w:div w:id="18752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Abdulloh</dc:creator>
  <cp:keywords/>
  <dc:description/>
  <cp:lastModifiedBy>Пользователь</cp:lastModifiedBy>
  <cp:revision>3</cp:revision>
  <dcterms:created xsi:type="dcterms:W3CDTF">2025-07-15T04:10:00Z</dcterms:created>
  <dcterms:modified xsi:type="dcterms:W3CDTF">2025-07-24T10:15:00Z</dcterms:modified>
</cp:coreProperties>
</file>