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C7497" w14:textId="7941A6BE" w:rsidR="000A5F4C" w:rsidRPr="00776DE5" w:rsidRDefault="00263A4B" w:rsidP="000A5F4C">
      <w:pPr>
        <w:spacing w:after="0" w:line="240" w:lineRule="auto"/>
        <w:ind w:left="5664"/>
        <w:jc w:val="center"/>
        <w:rPr>
          <w:rFonts w:ascii="Times New Roman" w:hAnsi="Times New Roman" w:cs="Times New Roman"/>
          <w:i/>
          <w:iCs/>
          <w:noProof/>
          <w:lang w:val="uz-Cyrl-UZ"/>
        </w:rPr>
      </w:pPr>
      <w:bookmarkStart w:id="0" w:name="_Hlk179150908"/>
      <w:r w:rsidRPr="00263A4B">
        <w:rPr>
          <w:rFonts w:ascii="Times New Roman" w:hAnsi="Times New Roman" w:cs="Times New Roman"/>
          <w:i/>
          <w:iCs/>
          <w:noProof/>
          <w:lang w:val="uz-Cyrl-UZ"/>
        </w:rPr>
        <w:t xml:space="preserve">Sanitariya-epidemiologik osoyishtalik va </w:t>
      </w:r>
      <w:r>
        <w:rPr>
          <w:rFonts w:ascii="Times New Roman" w:hAnsi="Times New Roman" w:cs="Times New Roman"/>
          <w:i/>
          <w:iCs/>
          <w:noProof/>
          <w:lang w:val="uz-Cyrl-UZ"/>
        </w:rPr>
        <w:t xml:space="preserve">jamoat salomatligi </w:t>
      </w:r>
      <w:r w:rsidR="0097159B">
        <w:rPr>
          <w:rFonts w:ascii="Times New Roman" w:hAnsi="Times New Roman" w:cs="Times New Roman"/>
          <w:i/>
          <w:iCs/>
          <w:noProof/>
          <w:lang w:val="en-US"/>
        </w:rPr>
        <w:t>boshqarma</w:t>
      </w:r>
      <w:bookmarkStart w:id="1" w:name="_GoBack"/>
      <w:bookmarkEnd w:id="1"/>
      <w:r>
        <w:rPr>
          <w:rFonts w:ascii="Times New Roman" w:hAnsi="Times New Roman" w:cs="Times New Roman"/>
          <w:i/>
          <w:iCs/>
          <w:noProof/>
          <w:lang w:val="uz-Cyrl-UZ"/>
        </w:rPr>
        <w:t>si</w:t>
      </w:r>
      <w:r w:rsidR="000A5F4C">
        <w:rPr>
          <w:rFonts w:ascii="Times New Roman" w:hAnsi="Times New Roman" w:cs="Times New Roman"/>
          <w:i/>
          <w:iCs/>
          <w:noProof/>
          <w:lang w:val="en-US"/>
        </w:rPr>
        <w:t>da</w:t>
      </w:r>
      <w:r w:rsidR="000A5F4C" w:rsidRPr="00776DE5">
        <w:rPr>
          <w:rFonts w:ascii="Times New Roman" w:hAnsi="Times New Roman" w:cs="Times New Roman"/>
          <w:i/>
          <w:iCs/>
          <w:noProof/>
          <w:lang w:val="uz-Cyrl-UZ"/>
        </w:rPr>
        <w:t xml:space="preserve"> </w:t>
      </w:r>
    </w:p>
    <w:p w14:paraId="44818153" w14:textId="77777777" w:rsidR="000A5F4C" w:rsidRPr="00776DE5" w:rsidRDefault="000A5F4C" w:rsidP="000A5F4C">
      <w:pPr>
        <w:spacing w:after="0" w:line="240" w:lineRule="auto"/>
        <w:ind w:left="5664"/>
        <w:jc w:val="center"/>
        <w:rPr>
          <w:rFonts w:ascii="Times New Roman" w:hAnsi="Times New Roman" w:cs="Times New Roman"/>
          <w:i/>
          <w:iCs/>
          <w:noProof/>
          <w:lang w:val="uz-Cyrl-UZ"/>
        </w:rPr>
      </w:pPr>
      <w:r w:rsidRPr="00263A4B">
        <w:rPr>
          <w:rFonts w:ascii="Times New Roman" w:hAnsi="Times New Roman" w:cs="Times New Roman"/>
          <w:i/>
          <w:iCs/>
          <w:noProof/>
          <w:lang w:val="uz-Cyrl-UZ"/>
        </w:rPr>
        <w:t>d</w:t>
      </w:r>
      <w:r w:rsidRPr="00776DE5">
        <w:rPr>
          <w:rFonts w:ascii="Times New Roman" w:hAnsi="Times New Roman" w:cs="Times New Roman"/>
          <w:i/>
          <w:iCs/>
          <w:noProof/>
          <w:lang w:val="uz-Cyrl-UZ"/>
        </w:rPr>
        <w:t>avlat xaridlari ustidan</w:t>
      </w:r>
    </w:p>
    <w:p w14:paraId="374B1709" w14:textId="77777777" w:rsidR="000A5F4C" w:rsidRPr="00776DE5" w:rsidRDefault="000A5F4C" w:rsidP="000A5F4C">
      <w:pPr>
        <w:spacing w:after="0" w:line="240" w:lineRule="auto"/>
        <w:ind w:left="5664"/>
        <w:jc w:val="center"/>
        <w:rPr>
          <w:rFonts w:ascii="Times New Roman" w:hAnsi="Times New Roman" w:cs="Times New Roman"/>
          <w:i/>
          <w:iCs/>
          <w:noProof/>
          <w:lang w:val="uz-Cyrl-UZ"/>
        </w:rPr>
      </w:pPr>
      <w:r w:rsidRPr="00776DE5">
        <w:rPr>
          <w:rFonts w:ascii="Times New Roman" w:hAnsi="Times New Roman" w:cs="Times New Roman"/>
          <w:i/>
          <w:iCs/>
          <w:noProof/>
          <w:lang w:val="uz-Cyrl-UZ"/>
        </w:rPr>
        <w:t>Nazoratni tashkil etish boʻyicha</w:t>
      </w:r>
      <w:r w:rsidRPr="00776DE5">
        <w:rPr>
          <w:rFonts w:ascii="Times New Roman" w:hAnsi="Times New Roman" w:cs="Times New Roman"/>
          <w:i/>
          <w:iCs/>
          <w:noProof/>
          <w:lang w:val="uz-Cyrl-UZ"/>
        </w:rPr>
        <w:br/>
        <w:t xml:space="preserve"> uslubiy qoʻllanmasiga</w:t>
      </w:r>
    </w:p>
    <w:p w14:paraId="56BF79E0" w14:textId="77777777" w:rsidR="000A5F4C" w:rsidRPr="00776DE5" w:rsidRDefault="000A5F4C" w:rsidP="000A5F4C">
      <w:pPr>
        <w:spacing w:after="0" w:line="240" w:lineRule="auto"/>
        <w:ind w:left="5664"/>
        <w:jc w:val="center"/>
        <w:rPr>
          <w:rFonts w:ascii="Times New Roman" w:hAnsi="Times New Roman" w:cs="Times New Roman"/>
          <w:i/>
          <w:iCs/>
          <w:noProof/>
          <w:lang w:val="uz-Cyrl-UZ"/>
        </w:rPr>
      </w:pPr>
      <w:r w:rsidRPr="00776DE5">
        <w:rPr>
          <w:rFonts w:ascii="Times New Roman" w:hAnsi="Times New Roman" w:cs="Times New Roman"/>
          <w:i/>
          <w:iCs/>
          <w:noProof/>
          <w:lang w:val="uz-Cyrl-UZ"/>
        </w:rPr>
        <w:t xml:space="preserve">3-Ilova </w:t>
      </w:r>
      <w:bookmarkEnd w:id="0"/>
    </w:p>
    <w:p w14:paraId="0AB37CC4" w14:textId="77777777" w:rsidR="000A5F4C" w:rsidRPr="00776DE5" w:rsidRDefault="000A5F4C" w:rsidP="000A5F4C">
      <w:pPr>
        <w:rPr>
          <w:rFonts w:ascii="Times New Roman" w:hAnsi="Times New Roman" w:cs="Times New Roman"/>
          <w:noProof/>
          <w:sz w:val="24"/>
          <w:szCs w:val="24"/>
          <w:lang w:val="uz-Cyrl-UZ"/>
        </w:rPr>
      </w:pPr>
    </w:p>
    <w:p w14:paraId="22C61E62" w14:textId="77777777" w:rsidR="000A5F4C" w:rsidRPr="00776DE5" w:rsidRDefault="000A5F4C" w:rsidP="000A5F4C">
      <w:pPr>
        <w:autoSpaceDE w:val="0"/>
        <w:autoSpaceDN w:val="0"/>
        <w:adjustRightInd w:val="0"/>
        <w:jc w:val="center"/>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u w:val="single"/>
          <w:lang w:val="uz-Cyrl-UZ"/>
        </w:rPr>
        <w:t>Tanlov takliflarini baholash yakunlanish bosqichida</w:t>
      </w:r>
      <w:r w:rsidRPr="00776DE5">
        <w:rPr>
          <w:rFonts w:ascii="Times New Roman" w:eastAsia="Times New Roman" w:hAnsi="Times New Roman" w:cs="Times New Roman"/>
          <w:b/>
          <w:bCs/>
          <w:noProof/>
          <w:sz w:val="24"/>
          <w:szCs w:val="24"/>
          <w:lang w:val="uz-Cyrl-UZ"/>
        </w:rPr>
        <w:t xml:space="preserve"> </w:t>
      </w:r>
      <w:r w:rsidRPr="00776DE5">
        <w:rPr>
          <w:rFonts w:ascii="Times New Roman" w:eastAsia="Times New Roman" w:hAnsi="Times New Roman" w:cs="Times New Roman"/>
          <w:b/>
          <w:bCs/>
          <w:noProof/>
          <w:sz w:val="24"/>
          <w:szCs w:val="24"/>
          <w:lang w:val="uz-Cyrl-UZ"/>
        </w:rPr>
        <w:br/>
        <w:t>korrupsiyaviy huquqbuzarliklar va xavf-xatarlarning asosiy usullariga</w:t>
      </w:r>
      <w:r w:rsidRPr="00776DE5">
        <w:rPr>
          <w:rFonts w:ascii="Times New Roman" w:eastAsia="Times New Roman" w:hAnsi="Times New Roman" w:cs="Times New Roman"/>
          <w:b/>
          <w:bCs/>
          <w:noProof/>
          <w:sz w:val="24"/>
          <w:szCs w:val="24"/>
          <w:lang w:val="uz-Cyrl-UZ"/>
        </w:rPr>
        <w:br/>
        <w:t>misollar (chek-list)</w:t>
      </w:r>
    </w:p>
    <w:tbl>
      <w:tblPr>
        <w:tblStyle w:val="a3"/>
        <w:tblW w:w="10491" w:type="dxa"/>
        <w:tblInd w:w="-431" w:type="dxa"/>
        <w:tblLook w:val="04A0" w:firstRow="1" w:lastRow="0" w:firstColumn="1" w:lastColumn="0" w:noHBand="0" w:noVBand="1"/>
      </w:tblPr>
      <w:tblGrid>
        <w:gridCol w:w="3030"/>
        <w:gridCol w:w="4831"/>
        <w:gridCol w:w="2630"/>
      </w:tblGrid>
      <w:tr w:rsidR="000A5F4C" w:rsidRPr="0097159B" w14:paraId="362C669F" w14:textId="77777777" w:rsidTr="002E3B0B">
        <w:trPr>
          <w:trHeight w:val="937"/>
        </w:trPr>
        <w:tc>
          <w:tcPr>
            <w:tcW w:w="2694" w:type="dxa"/>
            <w:vAlign w:val="center"/>
          </w:tcPr>
          <w:p w14:paraId="25884B67" w14:textId="77777777" w:rsidR="000A5F4C" w:rsidRPr="00776DE5" w:rsidRDefault="000A5F4C" w:rsidP="002E3B0B">
            <w:pPr>
              <w:jc w:val="center"/>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t>Usullar</w:t>
            </w:r>
          </w:p>
          <w:p w14:paraId="78C171ED" w14:textId="77777777" w:rsidR="000A5F4C" w:rsidRPr="00776DE5" w:rsidRDefault="000A5F4C" w:rsidP="002E3B0B">
            <w:pPr>
              <w:jc w:val="center"/>
              <w:rPr>
                <w:rFonts w:ascii="Times New Roman" w:eastAsia="Times New Roman" w:hAnsi="Times New Roman" w:cs="Times New Roman"/>
                <w:b/>
                <w:bCs/>
                <w:noProof/>
                <w:sz w:val="24"/>
                <w:szCs w:val="24"/>
                <w:lang w:val="uz-Cyrl-UZ"/>
              </w:rPr>
            </w:pPr>
          </w:p>
        </w:tc>
        <w:tc>
          <w:tcPr>
            <w:tcW w:w="5103" w:type="dxa"/>
            <w:vAlign w:val="center"/>
          </w:tcPr>
          <w:p w14:paraId="303C8430" w14:textId="77777777" w:rsidR="000A5F4C" w:rsidRPr="00776DE5" w:rsidRDefault="000A5F4C" w:rsidP="002E3B0B">
            <w:pPr>
              <w:jc w:val="center"/>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t>Usullar va hiylalar tavsifi</w:t>
            </w:r>
          </w:p>
          <w:p w14:paraId="1CA7FF47" w14:textId="77777777" w:rsidR="000A5F4C" w:rsidRPr="00776DE5" w:rsidRDefault="000A5F4C" w:rsidP="002E3B0B">
            <w:pPr>
              <w:jc w:val="center"/>
              <w:rPr>
                <w:rFonts w:ascii="Times New Roman" w:eastAsia="Times New Roman" w:hAnsi="Times New Roman" w:cs="Times New Roman"/>
                <w:b/>
                <w:bCs/>
                <w:noProof/>
                <w:sz w:val="24"/>
                <w:szCs w:val="24"/>
                <w:lang w:val="uz-Cyrl-UZ"/>
              </w:rPr>
            </w:pPr>
          </w:p>
        </w:tc>
        <w:tc>
          <w:tcPr>
            <w:tcW w:w="2694" w:type="dxa"/>
            <w:vAlign w:val="center"/>
          </w:tcPr>
          <w:p w14:paraId="73F91876" w14:textId="77777777" w:rsidR="000A5F4C" w:rsidRPr="00776DE5" w:rsidRDefault="000A5F4C" w:rsidP="002E3B0B">
            <w:pPr>
              <w:jc w:val="center"/>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t>Aniqlangan huquqbuzarliklar va xavf-xatarlar toʻgʻrisida belgilar</w:t>
            </w:r>
          </w:p>
        </w:tc>
      </w:tr>
      <w:tr w:rsidR="000A5F4C" w:rsidRPr="0097159B" w14:paraId="2ED3F662" w14:textId="77777777" w:rsidTr="002E3B0B">
        <w:trPr>
          <w:trHeight w:val="1803"/>
        </w:trPr>
        <w:tc>
          <w:tcPr>
            <w:tcW w:w="2694" w:type="dxa"/>
          </w:tcPr>
          <w:p w14:paraId="6069B00F" w14:textId="77777777" w:rsidR="000A5F4C" w:rsidRPr="00776DE5" w:rsidRDefault="000A5F4C" w:rsidP="000A5F4C">
            <w:pPr>
              <w:pStyle w:val="a4"/>
              <w:numPr>
                <w:ilvl w:val="0"/>
                <w:numId w:val="4"/>
              </w:numPr>
              <w:contextualSpacing w:val="0"/>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t>Buyurtmachi tomonidan tender toʻgʻrisidagi maxfiy maʼlumotlarni oshkor qilish</w:t>
            </w:r>
          </w:p>
        </w:tc>
        <w:tc>
          <w:tcPr>
            <w:tcW w:w="5103" w:type="dxa"/>
          </w:tcPr>
          <w:p w14:paraId="51942888" w14:textId="77777777" w:rsidR="000A5F4C" w:rsidRPr="00776DE5" w:rsidRDefault="000A5F4C" w:rsidP="002E3B0B">
            <w:pPr>
              <w:tabs>
                <w:tab w:val="left" w:pos="422"/>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Buyurtmachi kerakli firmalarga raqobatchi firmalarning narx takliflari toʻgʻrisidagi axborotni oshkor qilishi mumkin. Natijada, kerakli firma eng maqbul taklifni beradi va tender (auksion) gʻolibiga aylanadi.</w:t>
            </w:r>
          </w:p>
        </w:tc>
        <w:tc>
          <w:tcPr>
            <w:tcW w:w="2694" w:type="dxa"/>
          </w:tcPr>
          <w:p w14:paraId="3BE3D7A0" w14:textId="77777777" w:rsidR="000A5F4C" w:rsidRPr="00776DE5" w:rsidRDefault="000A5F4C" w:rsidP="002E3B0B">
            <w:pPr>
              <w:rPr>
                <w:rFonts w:ascii="Times New Roman" w:eastAsia="Times New Roman" w:hAnsi="Times New Roman" w:cs="Times New Roman"/>
                <w:b/>
                <w:bCs/>
                <w:noProof/>
                <w:sz w:val="24"/>
                <w:szCs w:val="24"/>
                <w:lang w:val="uz-Cyrl-UZ"/>
              </w:rPr>
            </w:pPr>
          </w:p>
        </w:tc>
      </w:tr>
      <w:tr w:rsidR="000A5F4C" w:rsidRPr="0097159B" w14:paraId="331310E2" w14:textId="77777777" w:rsidTr="002E3B0B">
        <w:tc>
          <w:tcPr>
            <w:tcW w:w="2694" w:type="dxa"/>
          </w:tcPr>
          <w:p w14:paraId="149FDE9A" w14:textId="77777777" w:rsidR="000A5F4C" w:rsidRPr="00776DE5" w:rsidRDefault="000A5F4C" w:rsidP="000A5F4C">
            <w:pPr>
              <w:pStyle w:val="a4"/>
              <w:numPr>
                <w:ilvl w:val="0"/>
                <w:numId w:val="4"/>
              </w:numPr>
              <w:spacing w:before="210" w:after="210"/>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t>Tenderda ishtirok etishdan bosh tortishga majburlash</w:t>
            </w:r>
          </w:p>
        </w:tc>
        <w:tc>
          <w:tcPr>
            <w:tcW w:w="5103" w:type="dxa"/>
          </w:tcPr>
          <w:p w14:paraId="542B7AFB" w14:textId="77777777" w:rsidR="000A5F4C" w:rsidRPr="00776DE5" w:rsidRDefault="000A5F4C" w:rsidP="002E3B0B">
            <w:pPr>
              <w:tabs>
                <w:tab w:val="left" w:pos="422"/>
              </w:tabs>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Buyurtmachi, kerakli tadbirkorning gʻalabasini taʼminlash uchun, gʻolibga yoki gʻalabaga yuqori imkoniyatga ega boshqa ishtirokchilarga maʼlum bir toʻlov evaziga ishtirok etishdan voz kechishni taklif qilishi mumkin.</w:t>
            </w:r>
          </w:p>
        </w:tc>
        <w:tc>
          <w:tcPr>
            <w:tcW w:w="2694" w:type="dxa"/>
          </w:tcPr>
          <w:p w14:paraId="2319E280" w14:textId="77777777" w:rsidR="000A5F4C" w:rsidRPr="00776DE5" w:rsidRDefault="000A5F4C" w:rsidP="002E3B0B">
            <w:pPr>
              <w:spacing w:before="210" w:after="210"/>
              <w:rPr>
                <w:rFonts w:ascii="Times New Roman" w:eastAsia="Times New Roman" w:hAnsi="Times New Roman" w:cs="Times New Roman"/>
                <w:b/>
                <w:bCs/>
                <w:noProof/>
                <w:sz w:val="24"/>
                <w:szCs w:val="24"/>
                <w:lang w:val="uz-Cyrl-UZ"/>
              </w:rPr>
            </w:pPr>
          </w:p>
        </w:tc>
      </w:tr>
      <w:tr w:rsidR="000A5F4C" w:rsidRPr="0097159B" w14:paraId="218F0905" w14:textId="77777777" w:rsidTr="002E3B0B">
        <w:tc>
          <w:tcPr>
            <w:tcW w:w="2694" w:type="dxa"/>
          </w:tcPr>
          <w:p w14:paraId="7D7B7368" w14:textId="77777777" w:rsidR="000A5F4C" w:rsidRPr="00776DE5" w:rsidRDefault="000A5F4C" w:rsidP="002E3B0B">
            <w:pPr>
              <w:ind w:left="360"/>
              <w:rPr>
                <w:rFonts w:ascii="Times New Roman" w:hAnsi="Times New Roman" w:cs="Times New Roman"/>
                <w:b/>
                <w:bCs/>
                <w:noProof/>
                <w:sz w:val="24"/>
                <w:szCs w:val="24"/>
                <w:lang w:val="uz-Cyrl-UZ"/>
              </w:rPr>
            </w:pPr>
            <w:bookmarkStart w:id="2" w:name="_heading=h.lgyc76t75e9n" w:colFirst="0" w:colLast="0"/>
            <w:bookmarkEnd w:id="2"/>
          </w:p>
          <w:p w14:paraId="04075DA9" w14:textId="77777777" w:rsidR="000A5F4C" w:rsidRPr="00776DE5" w:rsidRDefault="000A5F4C" w:rsidP="000A5F4C">
            <w:pPr>
              <w:pStyle w:val="a4"/>
              <w:numPr>
                <w:ilvl w:val="0"/>
                <w:numId w:val="4"/>
              </w:numPr>
              <w:rPr>
                <w:rFonts w:ascii="Times New Roman" w:hAnsi="Times New Roman" w:cs="Times New Roman"/>
                <w:b/>
                <w:bCs/>
                <w:noProof/>
                <w:sz w:val="24"/>
                <w:szCs w:val="24"/>
                <w:lang w:val="uz-Cyrl-UZ"/>
              </w:rPr>
            </w:pPr>
            <w:r w:rsidRPr="00776DE5">
              <w:rPr>
                <w:rFonts w:ascii="Times New Roman" w:hAnsi="Times New Roman" w:cs="Times New Roman"/>
                <w:b/>
                <w:bCs/>
                <w:noProof/>
                <w:sz w:val="24"/>
                <w:szCs w:val="24"/>
                <w:lang w:val="uz-Cyrl-UZ"/>
              </w:rPr>
              <w:t>Sindikat tenderlar yoki “Raqobatga taqlid qilish”</w:t>
            </w:r>
          </w:p>
        </w:tc>
        <w:tc>
          <w:tcPr>
            <w:tcW w:w="5103" w:type="dxa"/>
          </w:tcPr>
          <w:p w14:paraId="29A0E00E" w14:textId="77777777" w:rsidR="000A5F4C" w:rsidRPr="00776DE5" w:rsidRDefault="000A5F4C" w:rsidP="002E3B0B">
            <w:pPr>
              <w:pBdr>
                <w:top w:val="nil"/>
                <w:left w:val="nil"/>
                <w:bottom w:val="nil"/>
                <w:right w:val="nil"/>
                <w:between w:val="nil"/>
              </w:pBdr>
              <w:tabs>
                <w:tab w:val="left" w:pos="422"/>
              </w:tabs>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Davlat xaridlarida qoidabuzarlikning yana bir keng tarqalgan turi sindikat tenderlaridir. Bunday tenderlarda bir shaxs tomonidan boshqariladigan yoki oʻzaro bogʻlangan kompaniyalar guruhi ishtirok etib, raqobat koʻrinishini yaratadi. Ushbu kompaniyalar oʻz takliflari va narxlarini oldindan kelishib oladilar, shuningdek, ulardan kim gʻolib boʻlishini aniqlaydilar. Ushbu kelishuvdan maqsad shartnoma narxiga sunʼiy taʼsir oʻtkazish, uni pasaytirish, saqlab qolish yoki oshirishdan iborat. Bunday kelishuv faqat raqobat illyuziyasini yaratadi va bir nechta shakllarda namoyon boʻlishi mumkin, jumladan:</w:t>
            </w:r>
          </w:p>
          <w:p w14:paraId="1BC053C0" w14:textId="77777777" w:rsidR="000A5F4C" w:rsidRPr="00776DE5" w:rsidRDefault="000A5F4C" w:rsidP="002E3B0B">
            <w:pPr>
              <w:pBdr>
                <w:top w:val="nil"/>
                <w:left w:val="nil"/>
                <w:bottom w:val="nil"/>
                <w:right w:val="nil"/>
                <w:between w:val="nil"/>
              </w:pBdr>
              <w:tabs>
                <w:tab w:val="left" w:pos="422"/>
              </w:tabs>
              <w:spacing w:after="120"/>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 xml:space="preserve">Bir xoʻjayinning bir nechta kompaniyasi bor. Koʻpincha tadbirkorlar qarindoshlari yoki doʻstlari nazorati ostida boʻlgan bir nechta kompaniyani roʻyxatdan oʻtkazadilar va ulardan tenderlarda ishtirok etish uchun foydalanadilar. Ular bir-birlari bilan oldindan kelishib, savdolarga roʻyxatdan oʻtganlarida va savdolarning borishiga jamoa boʻlib taʼsir koʻrsatganlarida, oxirgi taklif kelishib olgan ishtirokchilardan birining qoʻlida boʻlmaguncha, raqobatchilik illyuziyasini </w:t>
            </w:r>
            <w:r w:rsidRPr="00776DE5">
              <w:rPr>
                <w:rFonts w:ascii="Times New Roman" w:hAnsi="Times New Roman" w:cs="Times New Roman"/>
                <w:noProof/>
                <w:sz w:val="24"/>
                <w:szCs w:val="24"/>
                <w:lang w:val="uz-Cyrl-UZ"/>
              </w:rPr>
              <w:lastRenderedPageBreak/>
              <w:t>yaratadilar. Qolganlar esa hech narsasiz chiqib ketishadi.</w:t>
            </w:r>
          </w:p>
          <w:p w14:paraId="3C59BE59" w14:textId="77777777" w:rsidR="000A5F4C" w:rsidRPr="00776DE5" w:rsidRDefault="000A5F4C" w:rsidP="002E3B0B">
            <w:pPr>
              <w:pBdr>
                <w:top w:val="nil"/>
                <w:left w:val="nil"/>
                <w:bottom w:val="nil"/>
                <w:right w:val="nil"/>
                <w:between w:val="nil"/>
              </w:pBdr>
              <w:tabs>
                <w:tab w:val="left" w:pos="422"/>
              </w:tabs>
              <w:spacing w:after="120"/>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Ikki yoki undan ortiq kompaniya tenderlarda oʻzaro qoʻllab-quvvatlash toʻgʻrisida shartnoma tuzganda, savdolarda oʻzaro ishtirok etganda xarid ishtirokchilarining minimal sonini taʼminlaganda oʻzaro qoʻllab-quvvatlash. Agar boshqa hech kim ishtirok etmasa, ular osongina gʻalaba qozonishadi. Baʼzida yetkazib beruvchilar oʻzlarining savdolariga raqobatni taqlid qiladigan oddiy kompaniyalarni olib kelishadi. Shuning uchun hatto buyurtmalar soni koʻp boʻlgan xaridlarda ham savdolarning turli ishtirokchilarida pozitsiyalar boʻyicha stavkalar (bidlar) bir xil yoki juda yaqin emasligini, ular foizlarda aniq farqlanmasligini tekshirish kerak. Shaxslarning aloqadorligini chuqurroq tahlil qilish uchun kompaniyalar bir xil savdolarda birgalikda ishtirok etib oʻzlarini qanday tutganliklarini tekshirish kerak, bunday kompaniyalar taʼsischilarining aloqadorligini tekshirish ham maʼnoga ega.</w:t>
            </w:r>
          </w:p>
          <w:p w14:paraId="59E82EC0" w14:textId="77777777" w:rsidR="000A5F4C" w:rsidRPr="00776DE5" w:rsidRDefault="000A5F4C" w:rsidP="002E3B0B">
            <w:pPr>
              <w:pBdr>
                <w:top w:val="nil"/>
                <w:left w:val="nil"/>
                <w:bottom w:val="nil"/>
                <w:right w:val="nil"/>
                <w:between w:val="nil"/>
              </w:pBdr>
              <w:tabs>
                <w:tab w:val="left" w:pos="422"/>
              </w:tabs>
              <w:spacing w:after="120"/>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Sindikat ishtirokchilari bilan buyurtmachi yoki tender qoʻmitasi vakillari oʻrtasidagi kelishuv. Sindikat tenderlarida poraxoʻrlik, noqonuniy imtiyozlarni taklif qilish, maxfiy maʼlumotlar almashish yoki korrupsiyaning boshqa shakllari istisno etilmaydi. Ushbu sxemani aniqlash qiyinroq, chunki sindikatga kiradigan turli kompaniyalar tenderda navbatma-navbat yutib chiqishi va uni "sevimli yetkazib beruvchi"dan koʻra qiyinroq isbotlashi mumkin.</w:t>
            </w:r>
          </w:p>
          <w:p w14:paraId="3B567476" w14:textId="77777777" w:rsidR="000A5F4C" w:rsidRPr="00776DE5" w:rsidRDefault="000A5F4C" w:rsidP="002E3B0B">
            <w:pPr>
              <w:pBdr>
                <w:top w:val="nil"/>
                <w:left w:val="nil"/>
                <w:bottom w:val="nil"/>
                <w:right w:val="nil"/>
                <w:between w:val="nil"/>
              </w:pBdr>
              <w:tabs>
                <w:tab w:val="left" w:pos="422"/>
              </w:tabs>
              <w:spacing w:after="120"/>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Bu 22.04.2021-yildagi “Davlat xaridlari toʻgʻrisida”gi OʻRQ-684-son, Qonunning “Manfaatlar toʻqnashuvi” nomli 14-moddasini buzadi.</w:t>
            </w:r>
            <w:r w:rsidRPr="00776DE5">
              <w:rPr>
                <w:rFonts w:ascii="Times New Roman" w:hAnsi="Times New Roman" w:cs="Times New Roman"/>
                <w:noProof/>
                <w:sz w:val="24"/>
                <w:szCs w:val="24"/>
                <w:lang w:val="uz-Cyrl-UZ"/>
              </w:rPr>
              <w:br/>
              <w:t>Davlat buyurtmachisining, davlat xaridlari elektron tizimi operatorining, ixtisoslashgan tashkilotning, ekspert tashkilotining mansabdor shaxslari va boshqa xodimlari, shuningdek xarid komissiyasining aʼzolari hamda ekspertlar xarid qilish tartib-taomillarini amalga oshirishda oʻz ishtirokidagi davlat xaridlariga doir bitimning natijasi boʻlgan har qanday shaxsiy foydani bevosita yoki bilvosita olish huquqiga ega emas.</w:t>
            </w:r>
          </w:p>
          <w:p w14:paraId="7EBE9E3E"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 xml:space="preserve">Sindikat tenderlarida shubhalarni tasdiqlash uchun odatda hujjatlar, bayonnomalar, moliyaviy hisobotlarni tahlil qilishni oʻz ichiga olgan batafsil tekshiruv talab qilinadi, ammo </w:t>
            </w:r>
            <w:r w:rsidRPr="00776DE5">
              <w:rPr>
                <w:rFonts w:ascii="Times New Roman" w:hAnsi="Times New Roman" w:cs="Times New Roman"/>
                <w:noProof/>
                <w:sz w:val="24"/>
                <w:szCs w:val="24"/>
                <w:lang w:val="uz-Cyrl-UZ"/>
              </w:rPr>
              <w:lastRenderedPageBreak/>
              <w:t>potensial kelishuvni koʻrsatishi mumkin boʻlgan koʻrsatkichlar mavjud:</w:t>
            </w:r>
          </w:p>
          <w:p w14:paraId="71C9A662"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Turli tenderlarda bir xil kompaniyalar tandemining takroriy ishtirokchilari, ayniqsa, agar bu kompaniyalar har doim oʻxshash takliflarni taqdim etsa.</w:t>
            </w:r>
          </w:p>
          <w:p w14:paraId="6000F32A"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Turli kompaniyalarning oʻxshash yoki bir xil takliflari, shu jumladan narxlar, yetkazib berish shartlari, tovarlar yoki xizmatlarning texnik tavsiflari.</w:t>
            </w:r>
          </w:p>
          <w:p w14:paraId="1F7D6BF3"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Kompaniyalar oʻrtasidagi munosabatlar, masalan, umumiy rahbariyat, egalik, manzillar, buxgalter, hujjatlarning imzolovchilari, IP-manzillar, aloqa maʼlumotlari yoki oldingi shartnomalarning umumiy tarixi. Bir xil hujjatlar, masalan, turli kompaniyalarning hujjatlaridagi printerdan olingan bir xil belgilar.</w:t>
            </w:r>
          </w:p>
          <w:p w14:paraId="29A30D04"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Turli tenderlarda bir xil kompaniyalar oʻrtasida gʻoliblarning navbatlashuvi, bu shartnomalarni taqsimlash boʻyicha kelishuvni koʻrsatishi mumkin. Yetkazib beruvchilar soni cheklangan oligopolistik bozorlar, masalan, avtomobil yoʻllarini taʼmirlash va saqlash bozori, bunday xavf-xatarlarga ayniqsa moil boʻladi.</w:t>
            </w:r>
          </w:p>
          <w:p w14:paraId="6F370DB8"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Savdolar paytida takliflarda raqobatning yoʻqligi, masalan, boshqa ishtirokchilar raqobatbardoshroq shartlar yoki narxlarni taklif qilishga harakat qilmaganda.</w:t>
            </w:r>
          </w:p>
          <w:p w14:paraId="2E163FAF"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Tender jarayonidagi gʻalati holatlar, masalan, ehtimoliy raqobatchilarning tushuntirib boʻlmaydigan tarzda chiqarib tashlanishi yoki tender talablarining asossiz oʻzgarishi.</w:t>
            </w:r>
          </w:p>
          <w:p w14:paraId="2695EF86"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Kompaniyalarning bozor ulushi va ularning tenderda yutib olishdagi muvaffaqiyati oʻrtasida nomuvofiqlik mavjud boʻlganda bozor ulushi va kapitallashtirish tahlili.</w:t>
            </w:r>
          </w:p>
          <w:p w14:paraId="61129E13"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Savdolarning boshqa ishtirokchilaridan ehtimoliy til biriktirishni koʻrsatuvchi shikoyatlar.</w:t>
            </w:r>
          </w:p>
        </w:tc>
        <w:tc>
          <w:tcPr>
            <w:tcW w:w="2694" w:type="dxa"/>
          </w:tcPr>
          <w:p w14:paraId="22473A29" w14:textId="77777777" w:rsidR="000A5F4C" w:rsidRPr="00776DE5" w:rsidRDefault="000A5F4C" w:rsidP="002E3B0B">
            <w:pPr>
              <w:spacing w:before="210" w:after="210"/>
              <w:rPr>
                <w:rFonts w:ascii="Times New Roman" w:eastAsia="Times New Roman" w:hAnsi="Times New Roman" w:cs="Times New Roman"/>
                <w:b/>
                <w:bCs/>
                <w:noProof/>
                <w:sz w:val="24"/>
                <w:szCs w:val="24"/>
                <w:lang w:val="uz-Cyrl-UZ"/>
              </w:rPr>
            </w:pPr>
          </w:p>
        </w:tc>
      </w:tr>
      <w:tr w:rsidR="000A5F4C" w:rsidRPr="0097159B" w14:paraId="30AE89AC" w14:textId="77777777" w:rsidTr="002E3B0B">
        <w:tc>
          <w:tcPr>
            <w:tcW w:w="2694" w:type="dxa"/>
          </w:tcPr>
          <w:p w14:paraId="0759BB4B" w14:textId="77777777" w:rsidR="000A5F4C" w:rsidRPr="00776DE5" w:rsidRDefault="000A5F4C" w:rsidP="000A5F4C">
            <w:pPr>
              <w:pStyle w:val="a4"/>
              <w:numPr>
                <w:ilvl w:val="0"/>
                <w:numId w:val="4"/>
              </w:numPr>
              <w:rPr>
                <w:rFonts w:ascii="Times New Roman" w:hAnsi="Times New Roman" w:cs="Times New Roman"/>
                <w:b/>
                <w:bCs/>
                <w:noProof/>
                <w:sz w:val="24"/>
                <w:szCs w:val="24"/>
                <w:lang w:val="uz-Cyrl-UZ"/>
              </w:rPr>
            </w:pPr>
            <w:r w:rsidRPr="00776DE5">
              <w:rPr>
                <w:rFonts w:ascii="Times New Roman" w:hAnsi="Times New Roman" w:cs="Times New Roman"/>
                <w:b/>
                <w:bCs/>
                <w:noProof/>
                <w:sz w:val="24"/>
                <w:szCs w:val="24"/>
                <w:lang w:val="uz-Cyrl-UZ"/>
              </w:rPr>
              <w:lastRenderedPageBreak/>
              <w:t>Yoʻqolgan buyurtmachi</w:t>
            </w:r>
          </w:p>
        </w:tc>
        <w:tc>
          <w:tcPr>
            <w:tcW w:w="5103" w:type="dxa"/>
          </w:tcPr>
          <w:p w14:paraId="1872E1BF"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 xml:space="preserve">Buyurtmachilar va tender ishtirokchilari oʻrtasida aniq va shaffof muloqotni taʼminlash juda muhimdir. "Davlat xaridlari toʻgʻrisida"gi Qonunning 58-moddasiga muvofiq tanlash oʻtkazilishi toʻgʻrisidagi eʼlonda quyidagilar koʻrsatilishi kerak: davlat buyurtmachisining ishtirokchilar bilan aloqa bogʻlash uchun aloqa qiluvchi shaxslar sifatida belgilangan bir yoki bir nechta mansabdor shaxslarining yoki boshqa xodimlarining ismi, lavozimi va manzili. Muayyan yetkazib beruvchilarga nisbatan afzalliklarga ega boʻlgan baʼzi </w:t>
            </w:r>
            <w:r w:rsidRPr="00776DE5">
              <w:rPr>
                <w:rFonts w:ascii="Times New Roman" w:hAnsi="Times New Roman" w:cs="Times New Roman"/>
                <w:noProof/>
                <w:sz w:val="24"/>
                <w:szCs w:val="24"/>
                <w:lang w:val="uz-Cyrl-UZ"/>
              </w:rPr>
              <w:lastRenderedPageBreak/>
              <w:t>buyurtmachilar tender hujjatlari boʻyicha masalalarni tushuntirish uchun buyurtmachining masʼul shaxsi bilan bogʻlanishga harakat qilishda tenderning "begona" ishtirokchilariga qiyinchilik tugʻdirishlari mumkin.</w:t>
            </w:r>
          </w:p>
          <w:p w14:paraId="0A4B2A64"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Bunday qoidabuzarlikning belgilari taʼminot boʻlimi boshligʻi yoki xaridlar boʻlimi mutaxassisi bilan ishtirokchilar uchun mavjud boʻlmagan aloqalarning yoʻqligi boʻlishi mumkin, bu esa tender talablarini tushunishni qiyinlashtiradi va raqobat kurashida ishtirok etish imkoniyatini cheklaydi. Bogʻlanish imkonsizligining eng koʻp uchraydigan sabablari:</w:t>
            </w:r>
          </w:p>
          <w:p w14:paraId="00A5F52E" w14:textId="77777777" w:rsidR="000A5F4C" w:rsidRPr="00776DE5" w:rsidRDefault="000A5F4C" w:rsidP="002E3B0B">
            <w:pPr>
              <w:ind w:left="47" w:right="90" w:firstLine="178"/>
              <w:jc w:val="both"/>
              <w:rPr>
                <w:rFonts w:ascii="Times New Roman" w:hAnsi="Times New Roman" w:cs="Times New Roman"/>
                <w:noProof/>
                <w:sz w:val="24"/>
                <w:szCs w:val="24"/>
                <w:lang w:val="uz-Cyrl-UZ"/>
              </w:rPr>
            </w:pPr>
            <w:r w:rsidRPr="00776DE5">
              <w:rPr>
                <w:rFonts w:ascii="Times New Roman" w:hAnsi="Times New Roman" w:cs="Times New Roman"/>
                <w:b/>
                <w:bCs/>
                <w:noProof/>
                <w:sz w:val="24"/>
                <w:szCs w:val="24"/>
                <w:lang w:val="uz-Cyrl-UZ"/>
              </w:rPr>
              <w:t>Koʻrsatilgan shaxsning telefonini yo hech kim koʻtarmaydi</w:t>
            </w:r>
            <w:r w:rsidRPr="00776DE5">
              <w:rPr>
                <w:rFonts w:ascii="Times New Roman" w:hAnsi="Times New Roman" w:cs="Times New Roman"/>
                <w:noProof/>
                <w:sz w:val="24"/>
                <w:szCs w:val="24"/>
                <w:lang w:val="uz-Cyrl-UZ"/>
              </w:rPr>
              <w:t>, yoki u oʻchirilgan.  Buyurtmachining masʼul shaxsi bilan bogʻlanishga urinishlar muvaffaqiyatsiz yakunlanadi, chunki qoʻngʻiroqlar va xatlarga javob berilmaydi. Elektron savdo maydonchasida operatorning chatiga murojaat qilinganda ham buyurtmachi tomonidan munosabat bildirilmaydi.</w:t>
            </w:r>
          </w:p>
          <w:p w14:paraId="79BB97AF" w14:textId="77777777" w:rsidR="000A5F4C" w:rsidRPr="00776DE5" w:rsidRDefault="000A5F4C" w:rsidP="002E3B0B">
            <w:pPr>
              <w:ind w:left="47"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 xml:space="preserve">Tender talablarini tushunishni qiyinlashtiradigan </w:t>
            </w:r>
            <w:r w:rsidRPr="00776DE5">
              <w:rPr>
                <w:rFonts w:ascii="Times New Roman" w:hAnsi="Times New Roman" w:cs="Times New Roman"/>
                <w:b/>
                <w:bCs/>
                <w:noProof/>
                <w:sz w:val="24"/>
                <w:szCs w:val="24"/>
                <w:lang w:val="uz-Cyrl-UZ"/>
              </w:rPr>
              <w:t>maʼlumot yoki</w:t>
            </w:r>
            <w:r w:rsidRPr="00776DE5">
              <w:rPr>
                <w:rFonts w:ascii="Times New Roman" w:hAnsi="Times New Roman" w:cs="Times New Roman"/>
                <w:noProof/>
                <w:sz w:val="24"/>
                <w:szCs w:val="24"/>
                <w:lang w:val="uz-Cyrl-UZ"/>
              </w:rPr>
              <w:t xml:space="preserve"> </w:t>
            </w:r>
            <w:r w:rsidRPr="00776DE5">
              <w:rPr>
                <w:rFonts w:ascii="Times New Roman" w:hAnsi="Times New Roman" w:cs="Times New Roman"/>
                <w:b/>
                <w:bCs/>
                <w:noProof/>
                <w:sz w:val="24"/>
                <w:szCs w:val="24"/>
                <w:lang w:val="uz-Cyrl-UZ"/>
              </w:rPr>
              <w:t>tushuntirishni sunʼiy ravishda kechiktirish</w:t>
            </w:r>
            <w:r w:rsidRPr="00776DE5">
              <w:rPr>
                <w:rFonts w:ascii="Times New Roman" w:hAnsi="Times New Roman" w:cs="Times New Roman"/>
                <w:noProof/>
                <w:sz w:val="24"/>
                <w:szCs w:val="24"/>
                <w:lang w:val="uz-Cyrl-UZ"/>
              </w:rPr>
              <w:t xml:space="preserve"> va muloqotda aniqlik va toʻgʻridan-toʻgʻrilikning yoʻqligi.</w:t>
            </w:r>
          </w:p>
          <w:p w14:paraId="2CB71AB3" w14:textId="77777777" w:rsidR="000A5F4C" w:rsidRPr="00776DE5" w:rsidRDefault="000A5F4C" w:rsidP="002E3B0B">
            <w:pPr>
              <w:spacing w:after="120"/>
              <w:ind w:left="47" w:right="90" w:firstLine="178"/>
              <w:jc w:val="both"/>
              <w:rPr>
                <w:rFonts w:ascii="Times New Roman" w:hAnsi="Times New Roman" w:cs="Times New Roman"/>
                <w:noProof/>
                <w:sz w:val="24"/>
                <w:szCs w:val="24"/>
                <w:lang w:val="uz-Cyrl-UZ"/>
              </w:rPr>
            </w:pPr>
            <w:r w:rsidRPr="00776DE5">
              <w:rPr>
                <w:rFonts w:ascii="Times New Roman" w:hAnsi="Times New Roman" w:cs="Times New Roman"/>
                <w:b/>
                <w:bCs/>
                <w:noProof/>
                <w:sz w:val="24"/>
                <w:szCs w:val="24"/>
                <w:lang w:val="uz-Cyrl-UZ"/>
              </w:rPr>
              <w:t>Nomuvofiq javob - bu</w:t>
            </w:r>
            <w:r w:rsidRPr="00776DE5">
              <w:rPr>
                <w:rFonts w:ascii="Times New Roman" w:hAnsi="Times New Roman" w:cs="Times New Roman"/>
                <w:noProof/>
                <w:sz w:val="24"/>
                <w:szCs w:val="24"/>
                <w:lang w:val="uz-Cyrl-UZ"/>
              </w:rPr>
              <w:t xml:space="preserve"> tender hujjatlarida koʻrsatilgan aloqa qiluvchi shaxs telefon raqami notoʻgʻri ulanganligini va savollarga javob berish uning vakolatiga kirmasligini maʼlum qilishi yoki uning telefon raqami aloqa raqami sifatida koʻrsatilganligiga qaramay, berilgan savollarga javob berish uchun zarur bilimlarga ega emasligini tan olishi, "Yoʻqolgan buyurtmachi" tushuntirish berishga tayyor emasligini, chunki yetkazib beruvchini tanlash toʻgʻrisidagi qaror allaqachon qabul qilinganligini bildiradi, va boshqa ehtimoliy yetkazib beruvchilar bilan muloqotda boʻlishning maʼnosi yoʻq. Ochiq mijoz har doim bitim tuzish va kerakli tovarni sotib olishdan haqiqatan manfaatdor boʻlganda aloqaga chiqadi.</w:t>
            </w:r>
          </w:p>
          <w:p w14:paraId="0788094A" w14:textId="77777777" w:rsidR="000A5F4C" w:rsidRPr="00776DE5" w:rsidRDefault="000A5F4C" w:rsidP="002E3B0B">
            <w:pPr>
              <w:spacing w:after="120"/>
              <w:ind w:left="47"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 xml:space="preserve">Buyurtmachi va tender ishtirokchilari oʻrtasida aniq va shaffof aloqa mavjud boʻlmaganda, hech bir aqlli yetkazib beruvchi nomaʼlum narsada ishtirok etib, tavakkal qilmaydi. Ehtimol, u ishtirok etishdan bosh tortadi, chunki aniq oʻzaro anglashuv va ochiq </w:t>
            </w:r>
            <w:r w:rsidRPr="00776DE5">
              <w:rPr>
                <w:rFonts w:ascii="Times New Roman" w:hAnsi="Times New Roman" w:cs="Times New Roman"/>
                <w:noProof/>
                <w:sz w:val="24"/>
                <w:szCs w:val="24"/>
                <w:lang w:val="uz-Cyrl-UZ"/>
              </w:rPr>
              <w:lastRenderedPageBreak/>
              <w:t>muloqotsiz savdolarni oʻtkazish mumkin emas.</w:t>
            </w:r>
          </w:p>
          <w:p w14:paraId="08D92192" w14:textId="77777777" w:rsidR="000A5F4C" w:rsidRPr="00776DE5" w:rsidRDefault="000A5F4C" w:rsidP="002E3B0B">
            <w:pPr>
              <w:spacing w:after="120"/>
              <w:ind w:left="47"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22.04.2021-yildagi "Davlat xaridlari toʻgʻrisida"gi OʻRQ-684-son Qonunning 46-moddasi buzilmoqda, unda davlat xaridlari jarayonida quyidagilarga yoʻl qoʻyilmasligi aytiladi: ishtirokchilarni kamsitish, bir ishtirokchiga ikkinchisiga zarar yetkazgan holda imtiyoz yoki preferensiyalar berish, shuningdek, Qonunning 6-moddasida davlat buyurtmachisi xarid qilish tartib-taomillarini tashkil etish va oʻtkazish uchun masʼul shaxsni belgilashi shartligi aytiladi.</w:t>
            </w:r>
          </w:p>
          <w:p w14:paraId="0CE98EAC"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Davlat xaridi jarayoniga bevosita jalb qilinmagan tashqi kuzatuvchi (jurnalist) uchun ushbu xavfni mustaqil ravishda kuzatib borish ancha murakkab hisoblanadi. Ammo tushuntirish berishga va potensial yetkazib beruvchilar bilan aloqaga chiqishga tayyorlikni tenderda ishtirok etayotgan yetkazib beruvchilarga kommunikatsiyalar uchun murojaat qilish orqali tekshirish mumkin. Agar ular buyurtmachining tushuntirish berishga tayyor emasligini tasdiqlasa, bu til biriktirish yoki xarid toʻgʻrisidagi qonun hujjatlarining boshqa buzilishlaridan dalolat berishi mumkin.</w:t>
            </w:r>
          </w:p>
        </w:tc>
        <w:tc>
          <w:tcPr>
            <w:tcW w:w="2694" w:type="dxa"/>
          </w:tcPr>
          <w:p w14:paraId="77130B89" w14:textId="77777777" w:rsidR="000A5F4C" w:rsidRPr="00776DE5" w:rsidRDefault="000A5F4C" w:rsidP="002E3B0B">
            <w:pPr>
              <w:spacing w:before="210" w:after="210"/>
              <w:rPr>
                <w:rFonts w:ascii="Times New Roman" w:hAnsi="Times New Roman" w:cs="Times New Roman"/>
                <w:b/>
                <w:noProof/>
                <w:sz w:val="24"/>
                <w:szCs w:val="24"/>
                <w:lang w:val="uz-Cyrl-UZ"/>
              </w:rPr>
            </w:pPr>
          </w:p>
        </w:tc>
      </w:tr>
      <w:tr w:rsidR="000A5F4C" w:rsidRPr="0097159B" w14:paraId="3CA9488C" w14:textId="77777777" w:rsidTr="002E3B0B">
        <w:tc>
          <w:tcPr>
            <w:tcW w:w="2694" w:type="dxa"/>
          </w:tcPr>
          <w:p w14:paraId="32E44B8D" w14:textId="77777777" w:rsidR="000A5F4C" w:rsidRPr="00776DE5" w:rsidRDefault="000A5F4C" w:rsidP="000A5F4C">
            <w:pPr>
              <w:pStyle w:val="a4"/>
              <w:numPr>
                <w:ilvl w:val="0"/>
                <w:numId w:val="4"/>
              </w:numPr>
              <w:contextualSpacing w:val="0"/>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lastRenderedPageBreak/>
              <w:t>Noxolis baholash</w:t>
            </w:r>
          </w:p>
        </w:tc>
        <w:tc>
          <w:tcPr>
            <w:tcW w:w="5103" w:type="dxa"/>
          </w:tcPr>
          <w:p w14:paraId="7B331F4F" w14:textId="77777777" w:rsidR="000A5F4C" w:rsidRPr="00776DE5" w:rsidRDefault="000A5F4C" w:rsidP="002E3B0B">
            <w:pPr>
              <w:ind w:firstLine="178"/>
              <w:jc w:val="both"/>
              <w:rPr>
                <w:rFonts w:ascii="Times New Roman" w:eastAsia="Times New Roman" w:hAnsi="Times New Roman" w:cs="Times New Roman"/>
                <w:noProof/>
                <w:sz w:val="24"/>
                <w:szCs w:val="24"/>
                <w:lang w:val="uz-Cyrl-UZ"/>
              </w:rPr>
            </w:pPr>
            <w:r w:rsidRPr="00776DE5">
              <w:rPr>
                <w:rFonts w:ascii="Times New Roman" w:eastAsia="Times New Roman" w:hAnsi="Times New Roman" w:cs="Times New Roman"/>
                <w:noProof/>
                <w:sz w:val="24"/>
                <w:szCs w:val="24"/>
                <w:lang w:val="uz-Cyrl-UZ"/>
              </w:rPr>
              <w:t xml:space="preserve">Buni komissiya arizalarni koʻrib chiqishda ishtirokchiga baholash mezonlarida koʻrsatilmagan takliflar uchun qoʻshimcha ballar berganda yoki u tomonidan koʻrsatilgan maʼlumotlarning toʻgʻriligi va ishonchliligini tekshirmaganda kuzatish mumkin. </w:t>
            </w:r>
            <w:r w:rsidRPr="00776DE5">
              <w:rPr>
                <w:rFonts w:ascii="Times New Roman" w:eastAsia="Times New Roman" w:hAnsi="Times New Roman" w:cs="Times New Roman"/>
                <w:i/>
                <w:iCs/>
                <w:noProof/>
                <w:sz w:val="24"/>
                <w:szCs w:val="24"/>
                <w:lang w:val="uz-Cyrl-UZ"/>
              </w:rPr>
              <w:t>Masalan, baholash jarayonida komissiya ishtirokchilarning xarid predmetiga taalluqli boʻlmagan koʻrsatkichlari va yutuqlarini eʼtiborga oladi.</w:t>
            </w:r>
          </w:p>
        </w:tc>
        <w:tc>
          <w:tcPr>
            <w:tcW w:w="2694" w:type="dxa"/>
          </w:tcPr>
          <w:p w14:paraId="734517A7" w14:textId="77777777" w:rsidR="000A5F4C" w:rsidRPr="00776DE5" w:rsidRDefault="000A5F4C" w:rsidP="002E3B0B">
            <w:pPr>
              <w:rPr>
                <w:rFonts w:ascii="Times New Roman" w:eastAsia="Times New Roman" w:hAnsi="Times New Roman" w:cs="Times New Roman"/>
                <w:b/>
                <w:bCs/>
                <w:noProof/>
                <w:sz w:val="24"/>
                <w:szCs w:val="24"/>
                <w:lang w:val="uz-Cyrl-UZ"/>
              </w:rPr>
            </w:pPr>
          </w:p>
        </w:tc>
      </w:tr>
      <w:tr w:rsidR="000A5F4C" w:rsidRPr="0097159B" w14:paraId="234DE43E" w14:textId="77777777" w:rsidTr="002E3B0B">
        <w:tc>
          <w:tcPr>
            <w:tcW w:w="2694" w:type="dxa"/>
          </w:tcPr>
          <w:p w14:paraId="4550E578" w14:textId="77777777" w:rsidR="000A5F4C" w:rsidRPr="00776DE5" w:rsidRDefault="000A5F4C" w:rsidP="000A5F4C">
            <w:pPr>
              <w:pStyle w:val="a4"/>
              <w:numPr>
                <w:ilvl w:val="0"/>
                <w:numId w:val="4"/>
              </w:numPr>
              <w:spacing w:before="210" w:after="210"/>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t>Tenderga buyurtmanomalarni asossiz rad etish</w:t>
            </w:r>
          </w:p>
        </w:tc>
        <w:tc>
          <w:tcPr>
            <w:tcW w:w="5103" w:type="dxa"/>
          </w:tcPr>
          <w:p w14:paraId="4B8018CA" w14:textId="77777777" w:rsidR="000A5F4C" w:rsidRPr="00776DE5" w:rsidRDefault="000A5F4C" w:rsidP="002E3B0B">
            <w:pPr>
              <w:spacing w:before="210" w:after="210"/>
              <w:ind w:firstLine="178"/>
              <w:jc w:val="both"/>
              <w:rPr>
                <w:rFonts w:ascii="Times New Roman" w:eastAsia="Times New Roman" w:hAnsi="Times New Roman" w:cs="Times New Roman"/>
                <w:noProof/>
                <w:sz w:val="24"/>
                <w:szCs w:val="24"/>
                <w:lang w:val="uz-Cyrl-UZ"/>
              </w:rPr>
            </w:pPr>
            <w:r w:rsidRPr="00776DE5">
              <w:rPr>
                <w:rFonts w:ascii="Times New Roman" w:eastAsia="Times New Roman" w:hAnsi="Times New Roman" w:cs="Times New Roman"/>
                <w:noProof/>
                <w:sz w:val="24"/>
                <w:szCs w:val="24"/>
                <w:lang w:val="uz-Cyrl-UZ"/>
              </w:rPr>
              <w:t xml:space="preserve">Davlat organi ishtirokchilarning arizalarini asossiz yoki tegishli tushuntirishlarsiz rad etadi. Kamchiliklar arzimas boʻlsa-da, ularni tezda tuzatish mumkin boʻlsada, degan bahona bilan firmaning tender yoki auksionda ishtirok etishi istisno qilinadi. </w:t>
            </w:r>
            <w:r w:rsidRPr="00776DE5">
              <w:rPr>
                <w:rFonts w:ascii="Times New Roman" w:eastAsia="Times New Roman" w:hAnsi="Times New Roman" w:cs="Times New Roman"/>
                <w:i/>
                <w:iCs/>
                <w:noProof/>
                <w:sz w:val="24"/>
                <w:szCs w:val="24"/>
                <w:lang w:val="uz-Cyrl-UZ"/>
              </w:rPr>
              <w:t>Masalan, texnik topshiriqda ishlarni bajarish uchun zarur boʻlgan materiallarning narxini smetada aks ettirish zarurligi haqida hech narsa deyilmagan, ammo buyurtmachi ushbu hisob-kitoblar smetada aks ettirilmaganligi sababli arizani rad etadi.</w:t>
            </w:r>
          </w:p>
        </w:tc>
        <w:tc>
          <w:tcPr>
            <w:tcW w:w="2694" w:type="dxa"/>
          </w:tcPr>
          <w:p w14:paraId="0C43E251" w14:textId="77777777" w:rsidR="000A5F4C" w:rsidRPr="00776DE5" w:rsidRDefault="000A5F4C" w:rsidP="002E3B0B">
            <w:pPr>
              <w:spacing w:before="210" w:after="210"/>
              <w:rPr>
                <w:rFonts w:ascii="Times New Roman" w:eastAsia="Times New Roman" w:hAnsi="Times New Roman" w:cs="Times New Roman"/>
                <w:noProof/>
                <w:sz w:val="24"/>
                <w:szCs w:val="24"/>
                <w:lang w:val="uz-Cyrl-UZ"/>
              </w:rPr>
            </w:pPr>
          </w:p>
        </w:tc>
      </w:tr>
      <w:tr w:rsidR="000A5F4C" w:rsidRPr="0097159B" w14:paraId="51FA4CB4" w14:textId="77777777" w:rsidTr="002E3B0B">
        <w:tc>
          <w:tcPr>
            <w:tcW w:w="2694" w:type="dxa"/>
          </w:tcPr>
          <w:p w14:paraId="7E39D571" w14:textId="77777777" w:rsidR="000A5F4C" w:rsidRPr="00776DE5" w:rsidRDefault="000A5F4C" w:rsidP="000A5F4C">
            <w:pPr>
              <w:pStyle w:val="a4"/>
              <w:numPr>
                <w:ilvl w:val="0"/>
                <w:numId w:val="4"/>
              </w:numPr>
              <w:spacing w:before="210" w:after="210"/>
              <w:rPr>
                <w:rFonts w:ascii="Times New Roman" w:hAnsi="Times New Roman" w:cs="Times New Roman"/>
                <w:b/>
                <w:bCs/>
                <w:noProof/>
                <w:sz w:val="24"/>
                <w:szCs w:val="24"/>
                <w:lang w:val="uz-Cyrl-UZ"/>
              </w:rPr>
            </w:pPr>
            <w:r w:rsidRPr="00776DE5">
              <w:rPr>
                <w:rFonts w:ascii="Times New Roman" w:hAnsi="Times New Roman" w:cs="Times New Roman"/>
                <w:b/>
                <w:bCs/>
                <w:noProof/>
                <w:sz w:val="24"/>
                <w:szCs w:val="24"/>
                <w:lang w:val="uz-Cyrl-UZ"/>
              </w:rPr>
              <w:t xml:space="preserve">Affillanganlik va buyurtmachi va </w:t>
            </w:r>
            <w:r w:rsidRPr="00776DE5">
              <w:rPr>
                <w:rFonts w:ascii="Times New Roman" w:hAnsi="Times New Roman" w:cs="Times New Roman"/>
                <w:b/>
                <w:bCs/>
                <w:noProof/>
                <w:sz w:val="24"/>
                <w:szCs w:val="24"/>
                <w:lang w:val="uz-Cyrl-UZ"/>
              </w:rPr>
              <w:lastRenderedPageBreak/>
              <w:t>ishtirokchi oʻrtasidagi aloqa</w:t>
            </w:r>
          </w:p>
        </w:tc>
        <w:tc>
          <w:tcPr>
            <w:tcW w:w="5103" w:type="dxa"/>
          </w:tcPr>
          <w:p w14:paraId="0BBE55BA" w14:textId="77777777" w:rsidR="000A5F4C" w:rsidRPr="00776DE5" w:rsidRDefault="000A5F4C" w:rsidP="002E3B0B">
            <w:pPr>
              <w:tabs>
                <w:tab w:val="left" w:pos="422"/>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lastRenderedPageBreak/>
              <w:t xml:space="preserve">Buyurtmachilar va tender ishtirokchilari oʻrtasidagi affillangan aloqa davlat xaridlarida tez-tez uchraydigan qoidabuzarlikning yana bir turidir. Agar xarid ishtirokchilari orasida </w:t>
            </w:r>
            <w:r w:rsidRPr="00776DE5">
              <w:rPr>
                <w:rFonts w:ascii="Times New Roman" w:hAnsi="Times New Roman" w:cs="Times New Roman"/>
                <w:noProof/>
                <w:sz w:val="24"/>
                <w:szCs w:val="24"/>
                <w:lang w:val="uz-Cyrl-UZ"/>
              </w:rPr>
              <w:lastRenderedPageBreak/>
              <w:t>umumiy rahbar yoki benefitsiar, pirovard natijada mulk huquqiga ega boʻlgan yoki yetkazib beruvchini nazorat qiluvchi shaxs boʻlsa, ular affillangan va bitta bitimga manfaatdor deb hisoblanadi, Raqobat toʻgʻrisidagi qonunga muvofiq esa, ushbu moddaning kimoshdi savdosida oʻzaro manfaatdor shaxslarning ishtirok etishi taqiqlanadi. Ishtirokchi asosiy benefitsiar mulkdor toʻgʻrisidagi axborotni oshkor qilishi shart ("Davlat xaridlari toʻgʻrisida"gi Qonunning 4-modda 1-qismining 1-kichik bandi, 23-modda 3-qismining 3-kichik bandi).</w:t>
            </w:r>
          </w:p>
          <w:p w14:paraId="1FEB75D9" w14:textId="77777777" w:rsidR="000A5F4C" w:rsidRPr="00776DE5" w:rsidRDefault="000A5F4C" w:rsidP="002E3B0B">
            <w:pP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Zamonaviy sharoitda bunday aloqalar kuchaytirilgan nazorat tufayli kamroq koʻzga tashlanadi. Toʻgʻridan-toʻgʻri aloqani aniqlash qiyinlashadi, chunki ishtirokchilar ehtimoliy oqibatlarni anglab yetganliklari sababli aniq xatolardan qochadilar. Ilgari, buyurtmachi ishtirokchi kompaniyaning taʼsischisi yoki direktori boʻlishi va u bilan shartnomalar tuzishi mumkin boʻlganida, bunday qoidabuzarliklar koʻproq uchrar edi.</w:t>
            </w:r>
          </w:p>
          <w:p w14:paraId="2714BEEE" w14:textId="77777777" w:rsidR="000A5F4C" w:rsidRPr="00776DE5" w:rsidRDefault="000A5F4C" w:rsidP="002E3B0B">
            <w:pPr>
              <w:tabs>
                <w:tab w:val="left" w:pos="422"/>
              </w:tabs>
              <w:ind w:left="38"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Xarid komissiyasi tanlov va tender oʻtkazishda ishtirokchilarning affillangan aloqasi mavjudligini tekshirishi shart. Agar ishtirokchilarning taʼsischilari, buyurtmachi yoki tashkilotchi vakili, operator yoki komissiya aʼzosi va ishtirokchining taʼsischisi yaqin qarindoshlik aloqalariga ega boʻlsa, ularni ishtirok etishdan chetlashtirish zarur, Qonun bunday ishtirokchilarning bitta lotda qatnashishini taqiqlaydi, ("Davlat xaridlari toʻgʻrisida"gi Qonunning 23-moddasi 4-qismi, 42-moddasi 1-qismi 6-kichik bandi).</w:t>
            </w:r>
          </w:p>
          <w:p w14:paraId="61ED73AB"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Affillanganlik ehtimoli toʻgʻrisidagi va tasdiqlash uchun qoʻshimcha tekshiruvni talab qiladigan signallar quyidagi belgilarni oʻz ichiga oladi:</w:t>
            </w:r>
          </w:p>
          <w:p w14:paraId="6D7B64B3"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Shu sababli tender bir necha marotaba oʻtkazilmaganida ishtirokchilarning yoʻqligi. Bu raqobatchilarni choʻchitib yuborgan lotga qoʻyiladigan oʻta qatʼiy yoki noreal talablardan dalolat berishi mumkin.</w:t>
            </w:r>
          </w:p>
          <w:p w14:paraId="31D3115A"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 xml:space="preserve">Murakkab sharoitlar tufayli ishtirokchilarning cheklangan soni, masalan, buyurtmachi ishlab chiqaruvchidan avtorizatsiyani talab qilishi. Baʼzi hollarda, ayniqsa, sertifikatlashni talab qiladigan murakkab texnik qurilmalar, ixtisoslashtirilgan uskunalar yoki mahsulotlar haqida gap ketganda, avtorizatsiya talabi asosli boʻlishi mumkin. Biroq, agar u asossiz ishlatilsa, bu raqobatni sunʼiy cheklash yoki maʼlum bir </w:t>
            </w:r>
            <w:r w:rsidRPr="00776DE5">
              <w:rPr>
                <w:rFonts w:ascii="Times New Roman" w:hAnsi="Times New Roman" w:cs="Times New Roman"/>
                <w:noProof/>
                <w:sz w:val="24"/>
                <w:szCs w:val="24"/>
                <w:lang w:val="uz-Cyrl-UZ"/>
              </w:rPr>
              <w:lastRenderedPageBreak/>
              <w:t>yetkazib beruvchilarning afzal koʻrishidan dalolat beradi. Sertifikatlar mamlakatga tovar amalda olib kirilgandan keyin beriladigan yoki yangilanadigan tovarlarni import qilishda hujjatlarni topshirish bosqichida sertifikat taqdim etish sharti asossiz talab hisoblanadi.</w:t>
            </w:r>
          </w:p>
          <w:p w14:paraId="094D79F2"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Qarz mablagʻlari yoki buyurtmachi va yetkazib beruvchi oʻrtasida boshqa moliyaviy munosabatlar mavjud boʻlgan moliyaviy aloqalar, mashina va uskunalarni bir-biriga ijaraga yoki lizingga berish, pudrat shartnomalarida ishtirok etish.</w:t>
            </w:r>
          </w:p>
          <w:p w14:paraId="7C4C00FE"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Tender takliflarining cheklangan soni, ayniqsa, agar bitta yetkazib beruvchi koʻpincha aniq afzalliklarsiz yutib chiqsa.</w:t>
            </w:r>
          </w:p>
          <w:p w14:paraId="0ACF0670"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Tender hujjatlarida bir yetkazib beruvchiga qoʻyiladigan talablar.</w:t>
            </w:r>
          </w:p>
          <w:p w14:paraId="4336BB66"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22"/>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Maʼlum bir yetkazib beruvchiga qulay boʻlgan tender hujjatlarida tez-tez oʻzgarishlar.</w:t>
            </w:r>
          </w:p>
        </w:tc>
        <w:tc>
          <w:tcPr>
            <w:tcW w:w="2694" w:type="dxa"/>
          </w:tcPr>
          <w:p w14:paraId="25C00130" w14:textId="77777777" w:rsidR="000A5F4C" w:rsidRPr="00776DE5" w:rsidRDefault="000A5F4C" w:rsidP="002E3B0B">
            <w:pPr>
              <w:spacing w:before="210" w:after="210"/>
              <w:rPr>
                <w:rFonts w:ascii="Times New Roman" w:hAnsi="Times New Roman" w:cs="Times New Roman"/>
                <w:b/>
                <w:noProof/>
                <w:sz w:val="24"/>
                <w:szCs w:val="24"/>
                <w:lang w:val="uz-Cyrl-UZ"/>
              </w:rPr>
            </w:pPr>
          </w:p>
        </w:tc>
      </w:tr>
      <w:tr w:rsidR="000A5F4C" w:rsidRPr="0097159B" w14:paraId="60D58C4C" w14:textId="77777777" w:rsidTr="002E3B0B">
        <w:tc>
          <w:tcPr>
            <w:tcW w:w="2694" w:type="dxa"/>
          </w:tcPr>
          <w:p w14:paraId="0A5D6D0F" w14:textId="77777777" w:rsidR="000A5F4C" w:rsidRPr="00776DE5" w:rsidRDefault="000A5F4C" w:rsidP="000A5F4C">
            <w:pPr>
              <w:pStyle w:val="a4"/>
              <w:numPr>
                <w:ilvl w:val="0"/>
                <w:numId w:val="4"/>
              </w:numPr>
              <w:spacing w:before="40"/>
              <w:contextualSpacing w:val="0"/>
              <w:rPr>
                <w:rFonts w:ascii="Times New Roman" w:hAnsi="Times New Roman" w:cs="Times New Roman"/>
                <w:b/>
                <w:bCs/>
                <w:noProof/>
                <w:sz w:val="24"/>
                <w:szCs w:val="24"/>
                <w:lang w:val="uz-Cyrl-UZ"/>
              </w:rPr>
            </w:pPr>
            <w:r w:rsidRPr="00776DE5">
              <w:rPr>
                <w:rFonts w:ascii="Times New Roman" w:hAnsi="Times New Roman" w:cs="Times New Roman"/>
                <w:b/>
                <w:bCs/>
                <w:noProof/>
                <w:sz w:val="24"/>
                <w:szCs w:val="24"/>
                <w:lang w:val="uz-Cyrl-UZ"/>
              </w:rPr>
              <w:lastRenderedPageBreak/>
              <w:t>“Doimiy yetkazib beruvchi”</w:t>
            </w:r>
          </w:p>
          <w:p w14:paraId="3D2D9FDB" w14:textId="77777777" w:rsidR="000A5F4C" w:rsidRPr="00776DE5" w:rsidRDefault="000A5F4C" w:rsidP="002E3B0B">
            <w:pPr>
              <w:spacing w:before="40"/>
              <w:rPr>
                <w:rFonts w:ascii="Times New Roman" w:hAnsi="Times New Roman" w:cs="Times New Roman"/>
                <w:noProof/>
                <w:sz w:val="24"/>
                <w:szCs w:val="24"/>
                <w:lang w:val="uz-Cyrl-UZ"/>
              </w:rPr>
            </w:pPr>
          </w:p>
        </w:tc>
        <w:tc>
          <w:tcPr>
            <w:tcW w:w="5103" w:type="dxa"/>
          </w:tcPr>
          <w:p w14:paraId="1A5A725F"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Davlat xaridlarida tez-tez uchraydigan qoidabuzarlikning navbatdagi turi "doimiy yetkazib beruvchilar" hisoblanadi. Bu turdagi qoidabuzarliklar aynan bir kompaniya doimiy ravishda muayyan lotlar boʻyicha tenderlarda gʻolib boʻlib turishi bilan tavsiflanadi.</w:t>
            </w:r>
          </w:p>
          <w:p w14:paraId="1AE269E0"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Bir qarashda, bunday tenderlar oddiy tenderlarga oʻxshab koʻrinadi, ammo savdo jarayonida aniq boʻladiki, mijozning doimiy hamkori boʻlgan kompaniyalardan biri yuqoriroq narxni taklif qiladi va yakunda yagona daʼvogar boʻlib qoladi. Raqobatning koʻrinishiga qaramay, bitimlar tahlili shuni koʻrsatadiki, ushbu tenderlarda gʻolib har doim bir xil boʻladi.</w:t>
            </w:r>
          </w:p>
          <w:p w14:paraId="7B047529"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Shuni yodda tutish kerakki, bitta kompaniya tomonidan tenderlarni muntazam ravishda yutib borish har doim ham qoidabuzarlik alomati boʻlavermaydi. Bu takliflarning yuqori sifati yoki kompaniyaning ixtisoslashtirilgan ekspertizasi natijasi boʻlishi mumkin. Biroq, shubha uchun asoslar mavjud boʻlganda, qoidabuzarliklarni aniqlash uchun sinchkovlik bilan va xolisona tahlil qilish zarur. Quyida buni tekshirishga yordam beradigan bir nechta yondashuvlarni keltiramiz:</w:t>
            </w:r>
          </w:p>
          <w:p w14:paraId="750FAE56"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Buyurtmachining tenderlar tarixini tahlil qilish bir kompaniya haqiqatan ham tenderlarda muntazam gʻolib chiqishini va insofsiz raqobat yoki kelishuvdan shubhalanish uchun asoslar mavjudligini aniqlashga yordam beradi.</w:t>
            </w:r>
          </w:p>
          <w:p w14:paraId="75A0109A"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Raqobatni asossiz ravishda cheklaydigan yoki maʼlum bir kompaniya uchun foydali boʻlgan oʻziga xos shartlar yoki talablar boʻyicha tender shartlarini taqqoslash.</w:t>
            </w:r>
          </w:p>
          <w:p w14:paraId="18A9CB6D"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lastRenderedPageBreak/>
              <w:t>Manfaatlar toʻqnashuvini buyurtmachi va gʻolib kompaniya oʻrtasida shaxsiy yoki ishbilarmonlik aloqalari mavjudligini tekshirish, bu manfaatlar toʻqnashuvidan dalolat berishi mumkin.</w:t>
            </w:r>
          </w:p>
          <w:p w14:paraId="44EDC23B"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Adolatsiz yoki shaffof boʻlmagan tartib-taomillarga ishora qilishi mumkin boʻlgan tenderning boshqa ishtirokchilarining shikoyatlari va murojaatlari yoki uchinchi tomonlarning kuzatuvlarini monitoring qilish.</w:t>
            </w:r>
          </w:p>
          <w:p w14:paraId="70411CA9"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Shubhali faktlar aniqlangan taqdirda vaziyatni chuqurroq tahlil qilish va huquqiy baho olish uchun yuridik ekspertlar bilan maslahatlashish.</w:t>
            </w:r>
          </w:p>
          <w:p w14:paraId="0CF56753" w14:textId="77777777" w:rsidR="000A5F4C" w:rsidRPr="00776DE5" w:rsidRDefault="000A5F4C" w:rsidP="002E3B0B">
            <w:pPr>
              <w:pBdr>
                <w:top w:val="nil"/>
                <w:left w:val="nil"/>
                <w:bottom w:val="nil"/>
                <w:right w:val="nil"/>
                <w:between w:val="nil"/>
              </w:pBdr>
              <w:spacing w:before="40"/>
              <w:ind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Jiddiy shubha tugʻilganda mustaqil tekshiruv oʻtkazish uchun nazorat organlari bilan hamkorlik qilish.</w:t>
            </w:r>
          </w:p>
        </w:tc>
        <w:tc>
          <w:tcPr>
            <w:tcW w:w="2694" w:type="dxa"/>
          </w:tcPr>
          <w:p w14:paraId="3D898C3B" w14:textId="77777777" w:rsidR="000A5F4C" w:rsidRPr="00776DE5" w:rsidRDefault="000A5F4C" w:rsidP="002E3B0B">
            <w:pPr>
              <w:spacing w:before="40"/>
              <w:rPr>
                <w:rFonts w:ascii="Times New Roman" w:hAnsi="Times New Roman" w:cs="Times New Roman"/>
                <w:noProof/>
                <w:sz w:val="24"/>
                <w:szCs w:val="24"/>
                <w:lang w:val="uz-Cyrl-UZ"/>
              </w:rPr>
            </w:pPr>
          </w:p>
        </w:tc>
      </w:tr>
      <w:tr w:rsidR="000A5F4C" w:rsidRPr="0097159B" w14:paraId="2EADA9B5" w14:textId="77777777" w:rsidTr="002E3B0B">
        <w:tc>
          <w:tcPr>
            <w:tcW w:w="2694" w:type="dxa"/>
          </w:tcPr>
          <w:p w14:paraId="7B7429C8" w14:textId="77777777" w:rsidR="000A5F4C" w:rsidRPr="00776DE5" w:rsidRDefault="000A5F4C" w:rsidP="000A5F4C">
            <w:pPr>
              <w:pStyle w:val="a4"/>
              <w:numPr>
                <w:ilvl w:val="0"/>
                <w:numId w:val="4"/>
              </w:numPr>
              <w:spacing w:before="210" w:after="210"/>
              <w:rPr>
                <w:rFonts w:ascii="Times New Roman" w:eastAsia="Times New Roman" w:hAnsi="Times New Roman" w:cs="Times New Roman"/>
                <w:b/>
                <w:bCs/>
                <w:noProof/>
                <w:sz w:val="24"/>
                <w:szCs w:val="24"/>
                <w:lang w:val="uz-Cyrl-UZ"/>
              </w:rPr>
            </w:pPr>
            <w:r w:rsidRPr="00776DE5">
              <w:rPr>
                <w:rFonts w:ascii="Times New Roman" w:eastAsia="Times New Roman" w:hAnsi="Times New Roman" w:cs="Times New Roman"/>
                <w:b/>
                <w:bCs/>
                <w:noProof/>
                <w:sz w:val="24"/>
                <w:szCs w:val="24"/>
                <w:lang w:val="uz-Cyrl-UZ"/>
              </w:rPr>
              <w:t xml:space="preserve">Sodiq tender komissiyasi </w:t>
            </w:r>
          </w:p>
        </w:tc>
        <w:tc>
          <w:tcPr>
            <w:tcW w:w="5103" w:type="dxa"/>
          </w:tcPr>
          <w:p w14:paraId="3273C642"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Bu turdagi buzilish taklifni baholashda ballarni pasaytirishdan iborat. Ideal holatda davlat xaridlarida takliflarni baholash xolis va aniq belgilangan mezonlar asosida amalga oshirilishi lozim. Xarid komissiyasi tanlov hujjatlari loyihasini Qonun talablariga muvofiqligini yuzma-yuz majlisda yoki masofadan turib koʻrib chiqadi va tanlov takliflarini baholash mezonlarini belgilaydi.</w:t>
            </w:r>
          </w:p>
          <w:p w14:paraId="1E899B55"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Tanlovga tayyorgarlik doirasida baholash mezonlari roʻyxati belgilanadi, bunda har bir mezon oʻzining vazni yoki ahamiyatiga ega boʻladi (masalan, narx 1 ogʻirlikdagi ustuvor mezon boʻlishi mumkin, boshqa, kamroq muhim jihat 0,1 ogʻirlikdagi mezon boʻlishi mumkin). Tanlov davomida kelib tushgan barcha takliflar ekspertlar tomonidan ushbu mezonlar asosida baholanadi. Har bir mezon uchun talabnomalarga muayyan miqdordagi ballar beriladi. Ishtirokchining umumiy yakuniy bali toʻplangan ballarni tegishli mezonning vazn koeffitsiyentiga koʻpaytirish va keyinchalik ushbu ballarni qoʻshish yoʻli bilan hisoblanadi. Baholash natijalariga koʻra eng koʻp ball toʻplagan ishtirokchi tanlov gʻolibi boʻladi.</w:t>
            </w:r>
          </w:p>
          <w:p w14:paraId="2018DF0D"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 xml:space="preserve">Biroq tender toʻgʻrisidagi eʼlon shartlarida baholash mezonlari aniq ifodalanmagan boʻlsa, komissiya subyektiv talqin qilish imkoniyatiga ega boʻladi. Bu, masalan, davlat roʻyxatidan oʻtkazilganlik toʻgʻrisidagi guvohnoma, ruxsat beruvchi litsenziyaning mavjudligi yoki yoʻqligi yoki muayyan turdagi ishlar uchun guvohnoma kabi bir xil mezon uchun turli miqdordagi ballarda namoyon boʻlishi mumkin. </w:t>
            </w:r>
            <w:r w:rsidRPr="00776DE5">
              <w:rPr>
                <w:rFonts w:ascii="Times New Roman" w:hAnsi="Times New Roman" w:cs="Times New Roman"/>
                <w:noProof/>
                <w:sz w:val="24"/>
                <w:szCs w:val="24"/>
                <w:lang w:val="uz-Cyrl-UZ"/>
              </w:rPr>
              <w:br/>
              <w:t xml:space="preserve">Bir holatda kompaniyalar bunday hujjat uchun </w:t>
            </w:r>
            <w:r w:rsidRPr="00776DE5">
              <w:rPr>
                <w:rFonts w:ascii="Times New Roman" w:hAnsi="Times New Roman" w:cs="Times New Roman"/>
                <w:noProof/>
                <w:sz w:val="24"/>
                <w:szCs w:val="24"/>
                <w:lang w:val="uz-Cyrl-UZ"/>
              </w:rPr>
              <w:lastRenderedPageBreak/>
              <w:t>5 ball, boshqa bir kompaniya uchun esa 10 ball qoʻyishlari mumkin, garchi litsenziyaning mavjudligi oʻz-oʻzidan ustunlik bermasa ham.</w:t>
            </w:r>
          </w:p>
          <w:p w14:paraId="7531C106"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Baholash jarayonida aynan nima ustuvorligini aniq koʻrsatuvchi mezonlar aniq koʻrsatilmaganligi sababli, bu tender ishtirokchilari uchun chalkashliklar keltirib chiqaradi va tortishuvlarning ikkala tomonini ham charchatadigan uzoq davom etadigan munozaralarga sabab boʻladi.</w:t>
            </w:r>
          </w:p>
          <w:p w14:paraId="10C6F214"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Baʼzida ishtirokchilarning juda bemaʼni baholari mavjud, masalan, korrupsiyaga qarshi kurash qoidalari talabi boʻlgan shablonli xatning mavjudligi kabi mezon boʻyicha. Bu xat majburiy hujjatlar roʻyxatiga kiradi va har bir ishtirokchi shunchaki imzo chekishi va muhr bosishi kerak. Shunday qilib, bu xatlar ham "ballar bilan oʻynash" vositasi va yakuniy natijani soxtalashtirish uchun qulay vaqt</w:t>
            </w:r>
          </w:p>
          <w:p w14:paraId="3B419626" w14:textId="77777777" w:rsidR="000A5F4C" w:rsidRPr="00776DE5" w:rsidRDefault="000A5F4C" w:rsidP="002E3B0B">
            <w:pPr>
              <w:spacing w:after="120"/>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Sodiq tender komissiyasi toʻgʻrisida guvohlik berishi mumkin boʻlgan signallar quyidagilarni oʻz ichiga olishi mumkin:</w:t>
            </w:r>
          </w:p>
          <w:p w14:paraId="5E2A0213"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Tenderning texnik yoki malakaviy qismi bosqichida qatnashchilarni narx qismigacha qoʻymasdan chiqarib tashlash. Imtiyozli yetkazib beruvchilardan tashqari barcha salohiyatli ishtirokchilarning malakasi yoki texnik tavsiflari bahosini pasaytirish, narx takliflari koʻrib chiqilgunga qadar ularni chiqarib tashlash. Ishtirok etish bayonnomasidagi har bir ishtirokchining takliflarini tahlil qilish va ishtirokchilarning malaka talablariga muvofiqligini taqqoslash orqali aniqlanadi.</w:t>
            </w:r>
          </w:p>
          <w:p w14:paraId="0C9E7DAE"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Baholarning oldindan belgilangan mezonlarga mos kelmasligi.</w:t>
            </w:r>
          </w:p>
          <w:p w14:paraId="37482978"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Baholashning aniq uslubiyotining mavjud emasligi yoki baholash mezonlarida asossiz oʻzgarishlar.</w:t>
            </w:r>
          </w:p>
          <w:p w14:paraId="666BAF57"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Turli ishtirokchilarda bir xil mezonlarning turlicha baholanishi.</w:t>
            </w:r>
          </w:p>
          <w:p w14:paraId="4C329923"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178"/>
              <w:jc w:val="both"/>
              <w:rPr>
                <w:rFonts w:ascii="Times New Roman" w:hAnsi="Times New Roman" w:cs="Times New Roman"/>
                <w:noProof/>
                <w:sz w:val="24"/>
                <w:szCs w:val="24"/>
                <w:lang w:val="uz-Cyrl-UZ"/>
              </w:rPr>
            </w:pPr>
            <w:r w:rsidRPr="00776DE5">
              <w:rPr>
                <w:rFonts w:ascii="Times New Roman" w:hAnsi="Times New Roman" w:cs="Times New Roman"/>
                <w:noProof/>
                <w:sz w:val="24"/>
                <w:szCs w:val="24"/>
                <w:lang w:val="uz-Cyrl-UZ"/>
              </w:rPr>
              <w:t>Komissiyaning baholashlarga mantiqiy va asoslangan tushuntirishlar berishdan bosh tortishi.</w:t>
            </w:r>
          </w:p>
          <w:p w14:paraId="4C29A935" w14:textId="77777777" w:rsidR="000A5F4C" w:rsidRPr="00776DE5" w:rsidRDefault="000A5F4C" w:rsidP="002E3B0B">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178"/>
              <w:jc w:val="both"/>
              <w:rPr>
                <w:rFonts w:ascii="Times New Roman" w:hAnsi="Times New Roman" w:cs="Times New Roman"/>
                <w:noProof/>
                <w:sz w:val="24"/>
                <w:szCs w:val="24"/>
                <w:lang w:val="uz-Cyrl-UZ"/>
              </w:rPr>
            </w:pPr>
            <w:r w:rsidRPr="00776DE5">
              <w:rPr>
                <w:rFonts w:ascii="Times New Roman" w:eastAsia="Times New Roman" w:hAnsi="Times New Roman" w:cs="Times New Roman"/>
                <w:b/>
                <w:bCs/>
                <w:noProof/>
                <w:sz w:val="24"/>
                <w:szCs w:val="24"/>
                <w:lang w:val="uz-Cyrl-UZ"/>
              </w:rPr>
              <w:t>Boshqa ishtirokchilarning</w:t>
            </w:r>
            <w:r w:rsidRPr="00776DE5">
              <w:rPr>
                <w:rFonts w:ascii="Times New Roman" w:eastAsia="Times New Roman" w:hAnsi="Times New Roman" w:cs="Times New Roman"/>
                <w:noProof/>
                <w:sz w:val="24"/>
                <w:szCs w:val="24"/>
                <w:lang w:val="uz-Cyrl-UZ"/>
              </w:rPr>
              <w:t xml:space="preserve"> oʻz takliflariga adolatsiz baho berilganligi haqidagi </w:t>
            </w:r>
            <w:r w:rsidRPr="00776DE5">
              <w:rPr>
                <w:rFonts w:ascii="Times New Roman" w:eastAsia="Times New Roman" w:hAnsi="Times New Roman" w:cs="Times New Roman"/>
                <w:b/>
                <w:bCs/>
                <w:noProof/>
                <w:sz w:val="24"/>
                <w:szCs w:val="24"/>
                <w:lang w:val="uz-Cyrl-UZ"/>
              </w:rPr>
              <w:t>shikoyatlari</w:t>
            </w:r>
            <w:r w:rsidRPr="00776DE5">
              <w:rPr>
                <w:rFonts w:ascii="Times New Roman" w:eastAsia="Times New Roman" w:hAnsi="Times New Roman" w:cs="Times New Roman"/>
                <w:noProof/>
                <w:sz w:val="24"/>
                <w:szCs w:val="24"/>
                <w:lang w:val="uz-Cyrl-UZ"/>
              </w:rPr>
              <w:t>.</w:t>
            </w:r>
          </w:p>
        </w:tc>
        <w:tc>
          <w:tcPr>
            <w:tcW w:w="2694" w:type="dxa"/>
          </w:tcPr>
          <w:p w14:paraId="754D39C1" w14:textId="77777777" w:rsidR="000A5F4C" w:rsidRPr="00776DE5" w:rsidRDefault="000A5F4C" w:rsidP="002E3B0B">
            <w:pPr>
              <w:spacing w:before="210" w:after="210"/>
              <w:rPr>
                <w:rFonts w:ascii="Times New Roman" w:eastAsia="Times New Roman" w:hAnsi="Times New Roman" w:cs="Times New Roman"/>
                <w:b/>
                <w:bCs/>
                <w:noProof/>
                <w:sz w:val="24"/>
                <w:szCs w:val="24"/>
                <w:lang w:val="uz-Cyrl-UZ"/>
              </w:rPr>
            </w:pPr>
          </w:p>
        </w:tc>
      </w:tr>
    </w:tbl>
    <w:p w14:paraId="575463B0" w14:textId="77777777" w:rsidR="000A5F4C" w:rsidRPr="00776DE5" w:rsidRDefault="000A5F4C" w:rsidP="000A5F4C">
      <w:pPr>
        <w:spacing w:after="120" w:line="240" w:lineRule="auto"/>
        <w:ind w:right="90"/>
        <w:jc w:val="both"/>
        <w:rPr>
          <w:rFonts w:ascii="Times New Roman" w:hAnsi="Times New Roman" w:cs="Times New Roman"/>
          <w:b/>
          <w:noProof/>
          <w:sz w:val="24"/>
          <w:szCs w:val="24"/>
          <w:lang w:val="uz-Cyrl-UZ"/>
        </w:rPr>
      </w:pPr>
    </w:p>
    <w:p w14:paraId="5B813618" w14:textId="77777777" w:rsidR="000A5F4C" w:rsidRPr="00776DE5" w:rsidRDefault="000A5F4C" w:rsidP="000A5F4C">
      <w:pPr>
        <w:rPr>
          <w:rFonts w:ascii="Times New Roman" w:hAnsi="Times New Roman" w:cs="Times New Roman"/>
          <w:noProof/>
          <w:lang w:val="uz-Cyrl-UZ"/>
        </w:rPr>
      </w:pPr>
    </w:p>
    <w:p w14:paraId="1EE950A9" w14:textId="77777777" w:rsidR="008E17A7" w:rsidRPr="000A5F4C" w:rsidRDefault="008E17A7" w:rsidP="000A5F4C">
      <w:pPr>
        <w:rPr>
          <w:lang w:val="uz-Cyrl-UZ"/>
        </w:rPr>
      </w:pPr>
    </w:p>
    <w:sectPr w:rsidR="008E17A7" w:rsidRPr="000A5F4C" w:rsidSect="008F0F9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90296"/>
    <w:multiLevelType w:val="hybridMultilevel"/>
    <w:tmpl w:val="D75A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986A52"/>
    <w:multiLevelType w:val="hybridMultilevel"/>
    <w:tmpl w:val="07406DB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DB33AC"/>
    <w:multiLevelType w:val="hybridMultilevel"/>
    <w:tmpl w:val="269CB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DC6DA9"/>
    <w:multiLevelType w:val="hybridMultilevel"/>
    <w:tmpl w:val="83028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1"/>
    <w:rsid w:val="000A5F4C"/>
    <w:rsid w:val="000B57B6"/>
    <w:rsid w:val="00167C26"/>
    <w:rsid w:val="001D3267"/>
    <w:rsid w:val="001F1FA3"/>
    <w:rsid w:val="00263A4B"/>
    <w:rsid w:val="003875E1"/>
    <w:rsid w:val="00587723"/>
    <w:rsid w:val="00723D71"/>
    <w:rsid w:val="00776DE5"/>
    <w:rsid w:val="00803D06"/>
    <w:rsid w:val="0081370C"/>
    <w:rsid w:val="008A1716"/>
    <w:rsid w:val="008E17A7"/>
    <w:rsid w:val="008F0F98"/>
    <w:rsid w:val="00906420"/>
    <w:rsid w:val="0097159B"/>
    <w:rsid w:val="00A773B2"/>
    <w:rsid w:val="00AC4A76"/>
    <w:rsid w:val="00B0583E"/>
    <w:rsid w:val="00C626D1"/>
    <w:rsid w:val="00C75701"/>
    <w:rsid w:val="00CB1BF5"/>
    <w:rsid w:val="00CC2969"/>
    <w:rsid w:val="00D705E3"/>
    <w:rsid w:val="00E0716A"/>
    <w:rsid w:val="00F93C77"/>
    <w:rsid w:val="00FC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E671"/>
  <w15:chartTrackingRefBased/>
  <w15:docId w15:val="{90967B2F-9725-4AC8-92FF-B7DE4C61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420"/>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1FA3"/>
    <w:pPr>
      <w:ind w:left="720"/>
      <w:contextualSpacing/>
    </w:pPr>
  </w:style>
  <w:style w:type="paragraph" w:styleId="a5">
    <w:name w:val="Body Text"/>
    <w:basedOn w:val="a"/>
    <w:link w:val="a6"/>
    <w:rsid w:val="00C626D1"/>
    <w:pPr>
      <w:spacing w:after="120" w:line="240" w:lineRule="auto"/>
      <w:ind w:firstLine="709"/>
      <w:jc w:val="both"/>
    </w:pPr>
    <w:rPr>
      <w:rFonts w:ascii="Times New Roman" w:eastAsia="Times New Roman" w:hAnsi="Times New Roman" w:cs="Times New Roman"/>
      <w:sz w:val="28"/>
      <w:lang w:eastAsia="en-US"/>
    </w:rPr>
  </w:style>
  <w:style w:type="character" w:customStyle="1" w:styleId="a6">
    <w:name w:val="Основной текст Знак"/>
    <w:basedOn w:val="a0"/>
    <w:link w:val="a5"/>
    <w:rsid w:val="00C626D1"/>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2864</Words>
  <Characters>16326</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2025-07-15T04:18:00Z</dcterms:created>
  <dcterms:modified xsi:type="dcterms:W3CDTF">2025-07-24T10:17:00Z</dcterms:modified>
</cp:coreProperties>
</file>