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D48B3" w14:textId="28C192BC" w:rsidR="00861F5A" w:rsidRPr="00861F5A" w:rsidRDefault="00284BD9" w:rsidP="00861F5A">
      <w:pPr>
        <w:keepNext/>
        <w:keepLines/>
        <w:tabs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djustRightInd w:val="0"/>
        <w:spacing w:after="0" w:line="257" w:lineRule="auto"/>
        <w:ind w:left="5954"/>
        <w:jc w:val="center"/>
        <w:rPr>
          <w:rFonts w:ascii="Times New Roman" w:hAnsi="Times New Roman" w:cs="Times New Roman"/>
          <w:i/>
          <w:iCs/>
          <w:sz w:val="24"/>
          <w:szCs w:val="24"/>
          <w:lang w:val="uz-Cyrl-UZ" w:eastAsia="uz-Cyrl-UZ"/>
        </w:rPr>
      </w:pPr>
      <w:r w:rsidRPr="00284BD9">
        <w:rPr>
          <w:rFonts w:ascii="Times New Roman" w:hAnsi="Times New Roman" w:cs="Times New Roman"/>
          <w:i/>
          <w:iCs/>
          <w:sz w:val="24"/>
          <w:szCs w:val="24"/>
          <w:lang w:val="uz-Cyrl-UZ" w:eastAsia="uz-Cyrl-UZ"/>
        </w:rPr>
        <w:t xml:space="preserve">Sanitariya-epidemiologik osoyishtalik va jamoat salomatligi </w:t>
      </w:r>
      <w:r w:rsidR="00E46538">
        <w:rPr>
          <w:rFonts w:ascii="Times New Roman" w:hAnsi="Times New Roman" w:cs="Times New Roman"/>
          <w:i/>
          <w:iCs/>
          <w:sz w:val="24"/>
          <w:szCs w:val="24"/>
          <w:lang w:val="en-US" w:eastAsia="uz-Cyrl-UZ"/>
        </w:rPr>
        <w:t>boshqarm</w:t>
      </w:r>
      <w:r w:rsidRPr="00284BD9">
        <w:rPr>
          <w:rFonts w:ascii="Times New Roman" w:hAnsi="Times New Roman" w:cs="Times New Roman"/>
          <w:i/>
          <w:iCs/>
          <w:sz w:val="24"/>
          <w:szCs w:val="24"/>
          <w:lang w:val="uz-Cyrl-UZ" w:eastAsia="uz-Cyrl-UZ"/>
        </w:rPr>
        <w:t>asining</w:t>
      </w:r>
      <w:r>
        <w:rPr>
          <w:rFonts w:ascii="Times New Roman" w:hAnsi="Times New Roman" w:cs="Times New Roman"/>
          <w:i/>
          <w:iCs/>
          <w:sz w:val="24"/>
          <w:szCs w:val="24"/>
          <w:lang w:val="en-US" w:eastAsia="uz-Cyrl-UZ"/>
        </w:rPr>
        <w:t xml:space="preserve"> </w:t>
      </w:r>
      <w:r w:rsidR="00861F5A" w:rsidRPr="00861F5A">
        <w:rPr>
          <w:rFonts w:ascii="Times New Roman" w:hAnsi="Times New Roman" w:cs="Times New Roman"/>
          <w:i/>
          <w:iCs/>
          <w:sz w:val="24"/>
          <w:szCs w:val="24"/>
          <w:lang w:val="uz-Cyrl-UZ" w:eastAsia="uz-Cyrl-UZ"/>
        </w:rPr>
        <w:t>202</w:t>
      </w:r>
      <w:r w:rsidR="00861F5A" w:rsidRPr="00861F5A">
        <w:rPr>
          <w:rFonts w:ascii="Times New Roman" w:hAnsi="Times New Roman" w:cs="Times New Roman"/>
          <w:i/>
          <w:iCs/>
          <w:sz w:val="24"/>
          <w:szCs w:val="24"/>
          <w:lang w:val="en-US" w:eastAsia="uz-Cyrl-UZ"/>
        </w:rPr>
        <w:t>5</w:t>
      </w:r>
      <w:r w:rsidR="00861F5A" w:rsidRPr="00861F5A">
        <w:rPr>
          <w:rFonts w:ascii="Times New Roman" w:hAnsi="Times New Roman" w:cs="Times New Roman"/>
          <w:i/>
          <w:iCs/>
          <w:sz w:val="24"/>
          <w:szCs w:val="24"/>
          <w:lang w:val="uz-Cyrl-UZ" w:eastAsia="uz-Cyrl-UZ"/>
        </w:rPr>
        <w:t xml:space="preserve">-yil ___ </w:t>
      </w:r>
      <w:r w:rsidR="00861F5A" w:rsidRPr="00861F5A">
        <w:rPr>
          <w:rFonts w:ascii="Times New Roman" w:hAnsi="Times New Roman" w:cs="Times New Roman"/>
          <w:i/>
          <w:iCs/>
          <w:sz w:val="24"/>
          <w:szCs w:val="24"/>
          <w:lang w:val="en-US" w:eastAsia="uz-Cyrl-UZ"/>
        </w:rPr>
        <w:t>iyul</w:t>
      </w:r>
      <w:r w:rsidR="00861F5A" w:rsidRPr="00861F5A">
        <w:rPr>
          <w:rFonts w:ascii="Times New Roman" w:hAnsi="Times New Roman" w:cs="Times New Roman"/>
          <w:i/>
          <w:iCs/>
          <w:sz w:val="24"/>
          <w:szCs w:val="24"/>
          <w:lang w:val="uz-Cyrl-UZ" w:eastAsia="uz-Cyrl-UZ"/>
        </w:rPr>
        <w:t>dagi</w:t>
      </w:r>
      <w:r>
        <w:rPr>
          <w:rFonts w:ascii="Times New Roman" w:hAnsi="Times New Roman" w:cs="Times New Roman"/>
          <w:i/>
          <w:iCs/>
          <w:sz w:val="24"/>
          <w:szCs w:val="24"/>
          <w:lang w:val="en-US" w:eastAsia="uz-Cyrl-UZ"/>
        </w:rPr>
        <w:t xml:space="preserve"> </w:t>
      </w:r>
      <w:r w:rsidR="00861F5A" w:rsidRPr="00861F5A">
        <w:rPr>
          <w:rFonts w:ascii="Times New Roman" w:hAnsi="Times New Roman" w:cs="Times New Roman"/>
          <w:i/>
          <w:iCs/>
          <w:sz w:val="24"/>
          <w:szCs w:val="24"/>
          <w:lang w:val="uz-Cyrl-UZ" w:eastAsia="uz-Cyrl-UZ"/>
        </w:rPr>
        <w:t xml:space="preserve"> ___-son buyrugʻiga </w:t>
      </w:r>
    </w:p>
    <w:p w14:paraId="659ADBAF" w14:textId="156783F0" w:rsidR="00861F5A" w:rsidRPr="00861F5A" w:rsidRDefault="00861F5A" w:rsidP="00861F5A">
      <w:pPr>
        <w:keepNext/>
        <w:keepLines/>
        <w:tabs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djustRightInd w:val="0"/>
        <w:spacing w:after="0" w:line="257" w:lineRule="auto"/>
        <w:ind w:left="5954"/>
        <w:jc w:val="center"/>
        <w:rPr>
          <w:rFonts w:ascii="Times New Roman" w:hAnsi="Times New Roman" w:cs="Times New Roman"/>
          <w:i/>
          <w:iCs/>
          <w:sz w:val="24"/>
          <w:szCs w:val="24"/>
          <w:lang w:val="uz-Cyrl-UZ" w:eastAsia="uz-Cyrl-UZ"/>
        </w:rPr>
      </w:pPr>
      <w:r w:rsidRPr="00861F5A">
        <w:rPr>
          <w:rFonts w:ascii="Times New Roman" w:hAnsi="Times New Roman" w:cs="Times New Roman"/>
          <w:i/>
          <w:iCs/>
          <w:sz w:val="24"/>
          <w:szCs w:val="24"/>
          <w:lang w:val="uz-Cyrl-UZ" w:eastAsia="uz-Cyrl-UZ"/>
        </w:rPr>
        <w:t>1</w:t>
      </w:r>
      <w:r w:rsidR="00AB18F6">
        <w:rPr>
          <w:rFonts w:ascii="Times New Roman" w:hAnsi="Times New Roman" w:cs="Times New Roman"/>
          <w:i/>
          <w:iCs/>
          <w:sz w:val="24"/>
          <w:szCs w:val="24"/>
          <w:lang w:val="en-US" w:eastAsia="uz-Cyrl-UZ"/>
        </w:rPr>
        <w:t>4</w:t>
      </w:r>
      <w:r w:rsidRPr="00861F5A">
        <w:rPr>
          <w:rFonts w:ascii="Times New Roman" w:hAnsi="Times New Roman" w:cs="Times New Roman"/>
          <w:i/>
          <w:iCs/>
          <w:sz w:val="24"/>
          <w:szCs w:val="24"/>
          <w:lang w:val="uz-Cyrl-UZ" w:eastAsia="uz-Cyrl-UZ"/>
        </w:rPr>
        <w:t>-ILOVA</w:t>
      </w:r>
    </w:p>
    <w:p w14:paraId="39B98134" w14:textId="77777777" w:rsidR="00E90A58" w:rsidRPr="00C532FE" w:rsidRDefault="00E90A58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14:paraId="1C9E7F69" w14:textId="1F8C2C28" w:rsidR="00E90A58" w:rsidRPr="00C532FE" w:rsidRDefault="0093273D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  <w:r w:rsidRPr="0093273D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Sanitariya-epidemiologik osoyishtalik va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jamoat salomatligi </w:t>
      </w:r>
      <w:r w:rsidR="00E4653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boshqarm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asi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da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tizimini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joriy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etish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uning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ishlash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tartibi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to‘g‘risida</w:t>
      </w:r>
    </w:p>
    <w:p w14:paraId="078A989E" w14:textId="057D2C8E" w:rsidR="00E90A58" w:rsidRPr="00C532FE" w:rsidRDefault="00861F5A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uz-Cyrl-UZ"/>
        </w:rPr>
        <w:t>NIZOM</w:t>
      </w:r>
    </w:p>
    <w:p w14:paraId="6B0DA516" w14:textId="77777777" w:rsidR="00E90A58" w:rsidRPr="00C532FE" w:rsidRDefault="00E90A58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14:paraId="058325F8" w14:textId="592AC53C" w:rsidR="00E90A58" w:rsidRDefault="00933B93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  <w:r w:rsidRPr="00E33631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I.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Umumiy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qoidalar</w:t>
      </w:r>
    </w:p>
    <w:p w14:paraId="58DD7F6A" w14:textId="77777777" w:rsidR="003B081F" w:rsidRPr="00C532FE" w:rsidRDefault="003B081F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14:paraId="57F3275B" w14:textId="24472A34" w:rsidR="00FD2AA8" w:rsidRPr="00C532FE" w:rsidRDefault="00E90A5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1.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  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Mazkur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Nizom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O‘zbekiston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Respublikasining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2023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yil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3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iyuldagi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“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”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gi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Qonuni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O‘zbekiston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Respublikasi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Prezidentining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2020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yil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6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iyuldagi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“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muhitini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yanada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rivojlantirish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iqtisodiyotdagi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davlat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ishtirokini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qisqartirish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qo‘shimcha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chora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tadbirlar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”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gi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br/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PF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-6019-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son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Farmoni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O‘zbekiston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Respublikasi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Vazirlar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Mahkamasining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2021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yil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2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martdagi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“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joriy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etish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chora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tadbirlari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”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gi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114-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son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qarori</w:t>
      </w:r>
      <w:r w:rsid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boshqa</w:t>
      </w:r>
      <w:r w:rsid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shu</w:t>
      </w:r>
      <w:r w:rsid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sohani</w:t>
      </w:r>
      <w:r w:rsid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tartibga</w:t>
      </w:r>
      <w:r w:rsid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soluvchi</w:t>
      </w:r>
      <w:r w:rsid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normativ</w:t>
      </w:r>
      <w:r w:rsid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huquqiy</w:t>
      </w:r>
      <w:r w:rsid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</w:t>
      </w:r>
      <w:r w:rsid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talablaridan</w:t>
      </w:r>
      <w:r w:rsid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kelib</w:t>
      </w:r>
      <w:r w:rsid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chiqqan</w:t>
      </w:r>
      <w:r w:rsid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holda</w:t>
      </w:r>
      <w:r w:rsid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ishlab</w:t>
      </w:r>
      <w:r w:rsid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chiqilgan</w:t>
      </w:r>
      <w:r w:rsid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13546101" w14:textId="28B22270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Ushbu</w:t>
      </w:r>
      <w:r w:rsidR="00C532FE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Nizom</w:t>
      </w:r>
      <w:r w:rsidR="00C532FE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66097A" w:rsidRPr="0066097A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Sanitariya-epidemiologik osoyishtalik va </w:t>
      </w:r>
      <w:r w:rsidR="0066097A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jamoat salomatligi </w:t>
      </w:r>
      <w:r w:rsidR="00D20E2A" w:rsidRPr="00D20E2A">
        <w:rPr>
          <w:rFonts w:ascii="Times New Roman" w:eastAsia="Times New Roman" w:hAnsi="Times New Roman" w:cs="Times New Roman"/>
          <w:sz w:val="28"/>
          <w:szCs w:val="28"/>
          <w:lang w:val="uz-Cyrl-UZ"/>
        </w:rPr>
        <w:t>boshqarm</w:t>
      </w:r>
      <w:r w:rsidR="0066097A">
        <w:rPr>
          <w:rFonts w:ascii="Times New Roman" w:eastAsia="Times New Roman" w:hAnsi="Times New Roman" w:cs="Times New Roman"/>
          <w:sz w:val="28"/>
          <w:szCs w:val="28"/>
          <w:lang w:val="uz-Cyrl-UZ"/>
        </w:rPr>
        <w:t>asi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da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C532FE" w:rsidRPr="00C532FE">
        <w:rPr>
          <w:rFonts w:ascii="Times New Roman" w:eastAsia="Times New Roman" w:hAnsi="Times New Roman" w:cs="Times New Roman"/>
          <w:i/>
          <w:iCs/>
          <w:sz w:val="24"/>
          <w:szCs w:val="24"/>
          <w:lang w:val="uz-Cyrl-UZ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/>
        </w:rPr>
        <w:t>keyingi</w:t>
      </w:r>
      <w:r w:rsidR="00C532FE" w:rsidRPr="00C532FE">
        <w:rPr>
          <w:rFonts w:ascii="Times New Roman" w:eastAsia="Times New Roman" w:hAnsi="Times New Roman" w:cs="Times New Roman"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/>
        </w:rPr>
        <w:t>o‘rinlarda</w:t>
      </w:r>
      <w:r w:rsidR="00C532FE" w:rsidRPr="00C532FE">
        <w:rPr>
          <w:rFonts w:ascii="Times New Roman" w:eastAsia="Times New Roman" w:hAnsi="Times New Roman" w:cs="Times New Roman"/>
          <w:i/>
          <w:iCs/>
          <w:sz w:val="24"/>
          <w:szCs w:val="24"/>
          <w:lang w:val="uz-Cyrl-UZ"/>
        </w:rPr>
        <w:t xml:space="preserve"> – </w:t>
      </w:r>
      <w:r w:rsidR="00D20E2A" w:rsidRPr="00D20E2A">
        <w:rPr>
          <w:rFonts w:ascii="Times New Roman" w:eastAsia="Times New Roman" w:hAnsi="Times New Roman" w:cs="Times New Roman"/>
          <w:i/>
          <w:iCs/>
          <w:sz w:val="24"/>
          <w:szCs w:val="24"/>
          <w:lang w:val="uz-Cyrl-UZ"/>
        </w:rPr>
        <w:t>boshqarma</w:t>
      </w:r>
      <w:r w:rsidR="00C532FE" w:rsidRPr="00C532FE">
        <w:rPr>
          <w:rFonts w:ascii="Times New Roman" w:eastAsia="Times New Roman" w:hAnsi="Times New Roman" w:cs="Times New Roman"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/>
        </w:rPr>
        <w:t>deb</w:t>
      </w:r>
      <w:r w:rsidR="00C532FE" w:rsidRPr="00C532FE">
        <w:rPr>
          <w:rFonts w:ascii="Times New Roman" w:eastAsia="Times New Roman" w:hAnsi="Times New Roman" w:cs="Times New Roman"/>
          <w:i/>
          <w:iCs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/>
        </w:rPr>
        <w:t>yuritiladi</w:t>
      </w:r>
      <w:r w:rsidR="00C532FE" w:rsidRPr="00C532FE">
        <w:rPr>
          <w:rFonts w:ascii="Times New Roman" w:eastAsia="Times New Roman" w:hAnsi="Times New Roman" w:cs="Times New Roman"/>
          <w:i/>
          <w:iCs/>
          <w:sz w:val="24"/>
          <w:szCs w:val="24"/>
          <w:lang w:val="uz-Cyrl-UZ"/>
        </w:rPr>
        <w:t>)</w:t>
      </w:r>
      <w:r w:rsidR="00FD2AA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joriy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etish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faoliyat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yuritish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monitoring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tartibini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belgilaydi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271A28E6" w14:textId="6AA0B444" w:rsidR="00E90A58" w:rsidRPr="00C532FE" w:rsidRDefault="00E90A5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2.</w:t>
      </w:r>
      <w:r w:rsidR="003B081F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Mazkur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Nizomda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quyidagi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asosiy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tushunchalardan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foydalaniladi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:</w:t>
      </w:r>
    </w:p>
    <w:p w14:paraId="319FC89C" w14:textId="07CFB300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kurashish</w:t>
      </w:r>
      <w:r w:rsidR="00E90A58" w:rsidRPr="00C532F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organi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>–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O‘zbekiston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Respublikasi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Raqobatni</w:t>
      </w:r>
      <w:r w:rsidR="00F03B36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rivojlantirish</w:t>
      </w:r>
      <w:r w:rsidR="00F03B36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F03B36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iste’molchilar</w:t>
      </w:r>
      <w:r w:rsidR="00F03B36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huquqlarini</w:t>
      </w:r>
      <w:r w:rsidR="00F03B36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himoya</w:t>
      </w:r>
      <w:r w:rsidR="00F03B36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qo‘mitasi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hududiy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boshqarmalari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59DFE655" w14:textId="62E00DA2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>–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faoliyatning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muvofiqligini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ta’minlash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huquqbuzarliklar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xavfini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aniqlash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ularning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oldini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olishga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qaratilgan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ichki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tashkiliy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chora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tadbirlar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taomillar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tizimi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7D9426AA" w14:textId="62ED3DD9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hisobot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>–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B17C8E" w:rsidRPr="00B17C8E">
        <w:rPr>
          <w:rFonts w:ascii="Times New Roman" w:eastAsia="Times New Roman" w:hAnsi="Times New Roman" w:cs="Times New Roman"/>
          <w:sz w:val="28"/>
          <w:szCs w:val="28"/>
          <w:lang w:val="uz-Cyrl-UZ"/>
        </w:rPr>
        <w:t>Sanepidqo‘m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amal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qilinishini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tashkil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etish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haqidagi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axborotni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o‘z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ichiga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379C3527" w14:textId="0A695DFE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lastRenderedPageBreak/>
        <w:t>vakolatli</w:t>
      </w:r>
      <w:r w:rsidR="00E90A58" w:rsidRPr="00C532F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shaxs</w:t>
      </w:r>
      <w:r w:rsidR="00E90A58" w:rsidRPr="00C532F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3B081F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bo‘lim</w:t>
      </w:r>
      <w:r w:rsidR="00E90A58" w:rsidRPr="00C532F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)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>–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ishlab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chiqish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joriy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etish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uning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tegishli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monitoringini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shuningdek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faoliyatini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ta’minlash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uchun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mas’ul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bo‘lgan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alohida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tarkibiy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bo‘lim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shaxs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7EAFFA7F" w14:textId="1A49C212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savdolar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933B93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>–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tovar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xizmatlarni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xarid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sotish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bilan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bog‘liq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bo‘lgan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taomillar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shu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jumladan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elektron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savdo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taomillari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4029D877" w14:textId="2E0B33BB" w:rsidR="00E90A58" w:rsidRPr="00C532FE" w:rsidRDefault="00E90A5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3.</w:t>
      </w:r>
      <w:r w:rsidR="003B081F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Quyidagilar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tizimining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asosiy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vazifalari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hisoblanadi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:</w:t>
      </w:r>
    </w:p>
    <w:p w14:paraId="206230AA" w14:textId="2F0251E4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ehtimoliy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aniqlash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baholash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hamda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boshqarish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71F19EA8" w14:textId="5E790A8A" w:rsidR="00E90A58" w:rsidRPr="00C532FE" w:rsidRDefault="00D20E2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  <w:lang w:val="uz-Cyrl-UZ"/>
        </w:rPr>
        <w:t>B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muvofiqligini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ta’minlash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monitoring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5D607603" w14:textId="48CA3759" w:rsidR="00E90A58" w:rsidRPr="00C532FE" w:rsidRDefault="00D20E2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  <w:lang w:val="uz-Cyrl-UZ"/>
        </w:rPr>
        <w:t>B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>
        <w:rPr>
          <w:rFonts w:ascii="Times New Roman" w:hAnsi="Times New Roman"/>
          <w:noProof/>
          <w:sz w:val="28"/>
          <w:szCs w:val="28"/>
          <w:lang w:val="uz-Cyrl-UZ"/>
        </w:rPr>
        <w:t>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faoliyatida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hamda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rahbarlar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tomonidan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o‘z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vazifalarini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bajarish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jarayonida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zid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xatti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harakatlar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amalga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oshirilishining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oldini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589C28FB" w14:textId="62BB9544" w:rsidR="00E90A58" w:rsidRPr="00C532FE" w:rsidRDefault="00D20E2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  <w:lang w:val="uz-Cyrl-UZ"/>
        </w:rPr>
        <w:t>B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ishlash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samaradorligini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baholash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ta’minlash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79DD017E" w14:textId="240B8C62" w:rsidR="00E90A58" w:rsidRDefault="00D20E2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  <w:lang w:val="uz-Cyrl-UZ"/>
        </w:rPr>
        <w:t>B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xodimlarida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oldini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muntazam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ravishda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ushbu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yo‘nalish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ularning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malakasini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oshirish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yuzasidan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o‘qitish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yo‘li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bilan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doir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fikrlarini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rivojlantirish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006221D5" w14:textId="77777777" w:rsidR="00933B93" w:rsidRDefault="00933B93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14:paraId="2E8F3696" w14:textId="479E5204" w:rsidR="00E90A58" w:rsidRPr="00C532FE" w:rsidRDefault="00933B93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861F5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tizimini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tashkil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etish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79A46231" w14:textId="77777777" w:rsidR="00933B93" w:rsidRDefault="00933B93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2272AF39" w14:textId="4DFC1AE4" w:rsidR="006647B9" w:rsidRDefault="00E90A5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4.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  </w:t>
      </w:r>
      <w:r w:rsidR="00EF1623">
        <w:rPr>
          <w:rFonts w:ascii="Times New Roman" w:hAnsi="Times New Roman"/>
          <w:noProof/>
          <w:sz w:val="28"/>
          <w:szCs w:val="28"/>
          <w:lang w:val="uz-Cyrl-UZ"/>
        </w:rPr>
        <w:t>B</w:t>
      </w:r>
      <w:r w:rsidR="00EF1623"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da</w:t>
      </w:r>
      <w:r w:rsidR="006647B9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6647B9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6647B9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6647B9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</w:t>
      </w:r>
      <w:r w:rsidR="006647B9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ishlab</w:t>
      </w:r>
      <w:r w:rsidR="006647B9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chiqish</w:t>
      </w:r>
      <w:r w:rsidR="006647B9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joriy</w:t>
      </w:r>
      <w:r w:rsidR="006647B9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etish</w:t>
      </w:r>
      <w:r w:rsidR="006647B9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6647B9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uning</w:t>
      </w:r>
      <w:r w:rsidR="006647B9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tegishli</w:t>
      </w:r>
      <w:r w:rsidR="006647B9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monitoringini</w:t>
      </w:r>
      <w:r w:rsidR="006647B9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shuningdek</w:t>
      </w:r>
      <w:r w:rsidR="006647B9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faoliyatini</w:t>
      </w:r>
      <w:r w:rsidR="006647B9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ta’minlash</w:t>
      </w:r>
      <w:r w:rsidR="006647B9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uchun</w:t>
      </w:r>
      <w:r w:rsidR="006647B9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EF1623" w:rsidRPr="00EF1623">
        <w:rPr>
          <w:rFonts w:ascii="Times New Roman" w:eastAsia="Times New Roman" w:hAnsi="Times New Roman" w:cs="Times New Roman"/>
          <w:sz w:val="28"/>
          <w:szCs w:val="28"/>
          <w:lang w:val="uz-Cyrl-UZ"/>
        </w:rPr>
        <w:t>b</w:t>
      </w:r>
      <w:r w:rsidR="00EF1623"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EF1623">
        <w:rPr>
          <w:rFonts w:ascii="Times New Roman" w:hAnsi="Times New Roman"/>
          <w:noProof/>
          <w:sz w:val="28"/>
          <w:szCs w:val="28"/>
          <w:lang w:val="uz-Cyrl-UZ"/>
        </w:rPr>
        <w:t>ning</w:t>
      </w:r>
      <w:r w:rsidR="006647B9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Korrupsiyaga qarshi </w:t>
      </w:r>
      <w:r w:rsidR="00B3565A" w:rsidRPr="002F6276">
        <w:rPr>
          <w:rFonts w:ascii="Times New Roman" w:eastAsia="Times New Roman" w:hAnsi="Times New Roman" w:cs="Times New Roman"/>
          <w:sz w:val="28"/>
          <w:szCs w:val="28"/>
          <w:lang w:val="uz-Cyrl-UZ"/>
        </w:rPr>
        <w:t>kurashish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bo‘limi</w:t>
      </w:r>
      <w:r w:rsidR="006647B9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vakolatli</w:t>
      </w:r>
      <w:r w:rsidR="006647B9" w:rsidRPr="00933B9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bo‘lim</w:t>
      </w:r>
      <w:r w:rsidR="006647B9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etib</w:t>
      </w:r>
      <w:r w:rsidR="006647B9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belgilanadi</w:t>
      </w:r>
      <w:r w:rsidR="006647B9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472DDD0D" w14:textId="7EB8EC77" w:rsidR="00E90A58" w:rsidRPr="00C532FE" w:rsidRDefault="00CB23B1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5.</w:t>
      </w:r>
      <w:r w:rsidR="003B081F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Vakolatli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shaxs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bo‘lim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)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quyidagilarni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amalga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oshiradi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:</w:t>
      </w:r>
    </w:p>
    <w:p w14:paraId="45861D47" w14:textId="5AFE550D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monitoring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451E19AA" w14:textId="4877D8CB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faoliyatga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tegishli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materiallarni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tahlil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(</w:t>
      </w:r>
      <w:r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shu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 xml:space="preserve"> </w:t>
      </w:r>
      <w:r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jumladan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 xml:space="preserve">, </w:t>
      </w:r>
      <w:r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raqobatni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 xml:space="preserve"> </w:t>
      </w:r>
      <w:r w:rsidR="003B081F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br/>
      </w:r>
      <w:r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va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 xml:space="preserve"> (</w:t>
      </w:r>
      <w:r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yoki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 xml:space="preserve">) </w:t>
      </w:r>
      <w:r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iste’molchilarning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 xml:space="preserve"> </w:t>
      </w:r>
      <w:r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huquq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 xml:space="preserve"> </w:t>
      </w:r>
      <w:r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va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 xml:space="preserve"> </w:t>
      </w:r>
      <w:r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manfaatlarini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 xml:space="preserve"> </w:t>
      </w:r>
      <w:r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cheklaydigan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 xml:space="preserve"> </w:t>
      </w:r>
      <w:r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normalarni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 xml:space="preserve"> </w:t>
      </w:r>
      <w:r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aniqlashga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 xml:space="preserve"> </w:t>
      </w:r>
      <w:r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qaratilgan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 xml:space="preserve"> </w:t>
      </w:r>
      <w:r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ichki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 xml:space="preserve"> </w:t>
      </w:r>
      <w:r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hujjatlarni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 xml:space="preserve"> </w:t>
      </w:r>
      <w:r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xatlovdan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 xml:space="preserve"> </w:t>
      </w:r>
      <w:r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o‘tkazish</w:t>
      </w:r>
      <w:r w:rsidR="00E90A58" w:rsidRPr="003B081F">
        <w:rPr>
          <w:rFonts w:ascii="Times New Roman" w:eastAsia="Times New Roman" w:hAnsi="Times New Roman" w:cs="Times New Roman"/>
          <w:i/>
          <w:iCs/>
          <w:sz w:val="26"/>
          <w:szCs w:val="26"/>
          <w:lang w:val="uz-Cyrl-UZ"/>
        </w:rPr>
        <w:t>)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aniqlangan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kamchiliklarni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bartaraf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etishga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yo‘naltirilgan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choralarni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ishlab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chiqish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2ECB65AD" w14:textId="25AF4E81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lastRenderedPageBreak/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cheklovlarini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keltirib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chiqarishi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mumkin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bo‘lgan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omillarni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aniqlash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bartaraf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etish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takliflar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ishlab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chiqish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4C086C4C" w14:textId="15D43D7B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faoliyat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yuritishi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bilan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bog‘liq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masalalar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boshqa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tuzilmaviy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bo‘lim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bilan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o‘zaro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aloqalarni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muvofiqlashtirish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7A2F8043" w14:textId="24188B33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bilan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bog‘liq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ichki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o‘rganish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ishlarini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tashkil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etish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0B5896AF" w14:textId="25BAA11E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kurashish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organi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bilan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o‘zaro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axborot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almashish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6099734A" w14:textId="38C4AE86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kamaytirish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maqsadida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yilga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mo‘ljallangan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Yo‘l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xaritasi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ishlab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chiqish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amalga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oshirilishini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ta’minlash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79E8D52A" w14:textId="6C9DDBCE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o‘zgarishlarni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monitoring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shuningdek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idoraviy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tegishli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o‘zgartirishlar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kiritish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yuzasidan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takliflar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kiritish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7446B30D" w14:textId="112005E5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aniqlash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bilan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bog‘liq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holatlar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hisobini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yuritish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yuzaga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kelish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ehtimolini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belgilash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574FF13B" w14:textId="075DE732" w:rsidR="00E90A58" w:rsidRPr="00C532FE" w:rsidRDefault="00744183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  <w:lang w:val="uz-Cyrl-UZ"/>
        </w:rPr>
        <w:t>B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>
        <w:rPr>
          <w:rFonts w:ascii="Times New Roman" w:hAnsi="Times New Roman"/>
          <w:noProof/>
          <w:sz w:val="28"/>
          <w:szCs w:val="28"/>
          <w:lang w:val="uz-Cyrl-UZ"/>
        </w:rPr>
        <w:t>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faoliyatida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cheklovlarini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keltirib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chiqarishi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mumkin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manfaatlar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to‘qnashuvini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aniqlash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ularni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bartaraf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etish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takliflar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ishlab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chiqish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30E659D9" w14:textId="0B782734" w:rsidR="00E90A58" w:rsidRPr="00C532FE" w:rsidRDefault="00744183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  <w:lang w:val="uz-Cyrl-UZ"/>
        </w:rPr>
        <w:t>B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6647B9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xodimlariga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amal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bilan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bog‘liq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masalalar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maslahatlar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berish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1011A583" w14:textId="1A933943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masalalari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muntazam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ravishda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treninglar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o‘tkazish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1007579A" w14:textId="3185E6B3" w:rsidR="00E90A58" w:rsidRPr="00C532FE" w:rsidRDefault="00744183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  <w:lang w:val="uz-Cyrl-UZ"/>
        </w:rPr>
        <w:t>B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6647B9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tomonidan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qabul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qilinadigan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loyihalarini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o‘rganish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keltirib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chiqarishi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mumkin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normalar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aniqlangan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taqdirda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bu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haqda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rahbarni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xabardor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04B86D97" w14:textId="6D51A486" w:rsidR="00E90A58" w:rsidRPr="00C532FE" w:rsidRDefault="00744183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  <w:lang w:val="uz-Cyrl-UZ"/>
        </w:rPr>
        <w:t>B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uning</w:t>
      </w:r>
      <w:r w:rsid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bo‘lim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larida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joriy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etilishi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samarali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faoliyat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ko‘rsatishini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tashkil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etish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3250E7A3" w14:textId="28535D41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yili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fevralga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qadar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haqidagi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hisobotni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rahbariyatga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tasdiqlash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uchun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taqdim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etish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64D33161" w14:textId="2D511943" w:rsidR="00E90A58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Vakolatli</w:t>
      </w:r>
      <w:r w:rsidR="00E90A58" w:rsidRPr="006A4122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shaxs</w:t>
      </w:r>
      <w:r w:rsidR="00E90A58" w:rsidRPr="006A4122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bo‘lim</w:t>
      </w:r>
      <w:r w:rsidR="00E90A58" w:rsidRPr="006A4122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bevosita</w:t>
      </w:r>
      <w:r w:rsidR="00E90A58" w:rsidRPr="006A4122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744183" w:rsidRPr="00744183">
        <w:rPr>
          <w:rFonts w:ascii="Times New Roman" w:eastAsia="Times New Roman" w:hAnsi="Times New Roman" w:cs="Times New Roman"/>
          <w:sz w:val="28"/>
          <w:szCs w:val="28"/>
          <w:lang w:val="uz-Cyrl-UZ"/>
        </w:rPr>
        <w:t>b</w:t>
      </w:r>
      <w:r w:rsidR="00744183"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ga</w:t>
      </w:r>
      <w:r w:rsidR="00E90A58" w:rsidRPr="006A4122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bo‘ysunadi</w:t>
      </w:r>
      <w:r w:rsidR="00E90A58" w:rsidRPr="006A4122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6A4122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hisobdor</w:t>
      </w:r>
      <w:r w:rsidR="00E90A58" w:rsidRPr="006A4122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bo‘ladi</w:t>
      </w:r>
      <w:r w:rsidR="00E90A58" w:rsidRPr="006A4122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25884CE2" w14:textId="57C4883A" w:rsidR="00CB23B1" w:rsidRPr="00CB23B1" w:rsidRDefault="00CB23B1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lastRenderedPageBreak/>
        <w:t>6.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  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Vakolatli</w:t>
      </w:r>
      <w:r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shaxs</w:t>
      </w:r>
      <w:r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bo‘lim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ning</w:t>
      </w:r>
      <w:r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mas’ul</w:t>
      </w:r>
      <w:r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xodimlari</w:t>
      </w:r>
      <w:r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)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lavozimiga</w:t>
      </w:r>
      <w:r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nomzod</w:t>
      </w:r>
      <w:r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quyidagi</w:t>
      </w:r>
      <w:r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talablarga</w:t>
      </w:r>
      <w:r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javob</w:t>
      </w:r>
      <w:r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berishi</w:t>
      </w:r>
      <w:r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lozim</w:t>
      </w:r>
      <w:r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>:</w:t>
      </w:r>
    </w:p>
    <w:p w14:paraId="78FA51FD" w14:textId="2268AA67" w:rsidR="00CB23B1" w:rsidRPr="00CB23B1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iqtisodiyot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boshqaruv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tizimi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menejment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huquq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yoxud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davlat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boshqaruvi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organi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xo‘jalik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yurituvchi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sub’ekt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faoliyatining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asosiy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yo‘nalishlaridan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biri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oliy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ma’lumotga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ega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bo‘lishi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7E683E2E" w14:textId="32F4132F" w:rsidR="00CB23B1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ustuvor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ravishda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boshqarish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ichki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audit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yoxud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davlat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organi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xo‘jalik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yurituvchi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sub’ekt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faoliyatini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yuridik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ta’minlash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yo‘nalishlari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kamida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bir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yillik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tajribasining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mavjudligi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171D2A24" w14:textId="5B4A3E08" w:rsidR="00CB23B1" w:rsidRPr="00CB23B1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Vakolatli</w:t>
      </w:r>
      <w:r w:rsidR="00CB23B1" w:rsidRPr="0057204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shaxs</w:t>
      </w:r>
      <w:r w:rsidR="00CB23B1" w:rsidRPr="0057204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bo‘lim</w:t>
      </w:r>
      <w:r w:rsidR="00CB23B1" w:rsidRPr="0057204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CB23B1" w:rsidRPr="0057204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CB23B1" w:rsidRPr="0057204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kurashish</w:t>
      </w:r>
      <w:r w:rsidR="00CB23B1" w:rsidRPr="0057204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organi</w:t>
      </w:r>
      <w:r w:rsidR="00CB23B1" w:rsidRPr="0057204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bilan</w:t>
      </w:r>
      <w:r w:rsidR="00CB23B1" w:rsidRPr="0057204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quyidagi</w:t>
      </w:r>
      <w:r w:rsidR="00CB23B1" w:rsidRPr="0057204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masalalarda</w:t>
      </w:r>
      <w:r w:rsidR="00CB23B1" w:rsidRPr="0057204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hamkorlikni</w:t>
      </w:r>
      <w:r w:rsidR="00CB23B1" w:rsidRPr="0057204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amalga</w:t>
      </w:r>
      <w:r w:rsidR="00CB23B1" w:rsidRPr="0057204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oshiradi</w:t>
      </w:r>
      <w:r w:rsidR="00CB23B1" w:rsidRPr="00572048">
        <w:rPr>
          <w:rFonts w:ascii="Times New Roman" w:eastAsia="Times New Roman" w:hAnsi="Times New Roman" w:cs="Times New Roman"/>
          <w:sz w:val="28"/>
          <w:szCs w:val="28"/>
          <w:lang w:val="uz-Cyrl-UZ"/>
        </w:rPr>
        <w:t>:</w:t>
      </w:r>
    </w:p>
    <w:p w14:paraId="54E65575" w14:textId="2689DD34" w:rsidR="00CB23B1" w:rsidRPr="00CB23B1" w:rsidRDefault="00015EAF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  <w:lang w:val="uz-Cyrl-UZ"/>
        </w:rPr>
        <w:t>B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da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joriy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etish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faoliyatini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yuritish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hamda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talablarining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xavflarini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kamaytirish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bir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yilga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mo‘ljallangan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>“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Yo‘l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xaritasi</w:t>
      </w:r>
      <w:r w:rsid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>”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ning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ishlab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chiqilishida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2369540E" w14:textId="48BCA1A9" w:rsidR="00CB23B1" w:rsidRPr="00CB23B1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talablarining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xavflarini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kamaytirish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Yo‘l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xaritasi</w:t>
      </w:r>
      <w:r w:rsid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amalga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oshirish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natijalarini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o‘rganishda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1ACA5BCE" w14:textId="1E382CE3" w:rsidR="00CB23B1" w:rsidRPr="00CB23B1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tizimining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asosiy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samaradorlik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ko‘rsatkichlarining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bajarilish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natijalarini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baholashda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6030A295" w14:textId="33BBEC73" w:rsidR="00CB23B1" w:rsidRPr="00CB23B1" w:rsidRDefault="00015EAF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  <w:lang w:val="uz-Cyrl-UZ"/>
        </w:rPr>
        <w:t>B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Pr="00015EAF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tomonidan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taqdim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etilgan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haqidagi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hisobotni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o‘rganish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hamda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kamchiliklar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qonunbuzarliklar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aniqlangan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taqdirda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noProof/>
          <w:sz w:val="28"/>
          <w:szCs w:val="28"/>
          <w:lang w:val="uz-Cyrl-UZ"/>
        </w:rPr>
        <w:t>B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Pr="00015EAF">
        <w:rPr>
          <w:rFonts w:ascii="Times New Roman" w:hAnsi="Times New Roman"/>
          <w:bCs/>
          <w:noProof/>
          <w:sz w:val="28"/>
          <w:szCs w:val="28"/>
          <w:lang w:val="uz-Cyrl-UZ"/>
        </w:rPr>
        <w:t>g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tegishli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ogohlantirishlar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berishda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44DA2989" w14:textId="28FC8AEB" w:rsidR="00CB23B1" w:rsidRPr="00CB23B1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konsalting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kompaniyalarni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jalb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etgan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holda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joriy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etish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seminarlar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konferensiyalar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amaliy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treninglarni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tashkil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qilishda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76F8A510" w14:textId="0BA29373" w:rsidR="00CB23B1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joriy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etish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uning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ijrosini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monitoring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talablarining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xavflarini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aniqlash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baholash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ishlash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samaradorligining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asosiy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ko‘rsatkichlari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baholash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tartibi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hamda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boshqa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chora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tadbirlarni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nazarda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tutuvchi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namunaviy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nizomni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ishlab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chiqishda</w:t>
      </w:r>
      <w:r w:rsidR="00CB23B1" w:rsidRPr="00CB23B1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14C46BD5" w14:textId="77777777" w:rsidR="002F6EBB" w:rsidRDefault="002F6EBB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14:paraId="151A35ED" w14:textId="3B6C1AFF" w:rsidR="00E90A58" w:rsidRPr="00C532FE" w:rsidRDefault="00933B93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  <w:r w:rsidRPr="00933B93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III.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talablarining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299376DA" w14:textId="3B70E1EB" w:rsidR="00E90A58" w:rsidRPr="00C532FE" w:rsidRDefault="00861F5A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buzilishini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aniqlash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77E75F42" w14:textId="77777777" w:rsidR="00933B93" w:rsidRDefault="00933B93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1943540D" w14:textId="4C340F1D" w:rsidR="00E90A58" w:rsidRPr="00C532FE" w:rsidRDefault="00CB23B1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lastRenderedPageBreak/>
        <w:t>7</w:t>
      </w:r>
      <w:r w:rsidR="00E90A58"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.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  </w:t>
      </w:r>
      <w:r w:rsidR="00912BF4">
        <w:rPr>
          <w:rFonts w:ascii="Times New Roman" w:hAnsi="Times New Roman"/>
          <w:noProof/>
          <w:sz w:val="28"/>
          <w:szCs w:val="28"/>
          <w:lang w:val="uz-Cyrl-UZ"/>
        </w:rPr>
        <w:t>B</w:t>
      </w:r>
      <w:r w:rsidR="00912BF4"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aniqlash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maqsadida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vakolatli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shaxs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bo‘lim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)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tomonidan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quyidagilar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amalga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oshiriladi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:</w:t>
      </w:r>
    </w:p>
    <w:p w14:paraId="46FC3BCE" w14:textId="73E6019F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buzilishiga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bozorda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cheklashga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olib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keladigan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normalar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qoidalarni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aniqlash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maqsadida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normativ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huquqiy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o‘rganish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558F39CE" w14:textId="59D926C6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joriy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etiladigan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yangi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cheklovlar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ruxsat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tartib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taomillarining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yangi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turlari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litsenziyalarni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shuningdek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ruxsat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xususiyatiga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litsenziyalarni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uchun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qo‘shimcha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shartlarni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hamda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texnik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tartibga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joriy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etilishini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o‘rganish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72A98A38" w14:textId="176A2138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tender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birja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savdolariga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qo‘yiladigan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amal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qilinishini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tahlil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6D28863E" w14:textId="729F638A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davlat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xaridlarining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muvofiqligini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o‘rganish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46B2FB20" w14:textId="115216C8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aniqlangan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buzish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holatlarini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tahlil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5B58C52D" w14:textId="59CC61B6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qo‘llash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amaliyotini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monitoring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tahlil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77914548" w14:textId="4B7E347A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kamaytirish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ishlab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chiqilgan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amalga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oshirilayotgan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chora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tadbirlar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samaradorligini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muntazam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ravishda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baholash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1B1BD79D" w14:textId="26748955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vujudga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kelish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ehtimoli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bo‘lgan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tahlil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ularning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ro‘yxatini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xaritasi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ko‘rinishida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tuzish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162B70A3" w14:textId="2A890702" w:rsidR="00E90A58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kamaytirish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ishlab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chiqilgan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amalga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oshirilayotgan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tadbirlarning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samaradorligini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muntazam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ravishda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baholash</w:t>
      </w:r>
      <w:r w:rsid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4A04B392" w14:textId="33838575" w:rsidR="008534D8" w:rsidRPr="008534D8" w:rsidRDefault="00912BF4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  <w:lang w:val="uz-Cyrl-UZ"/>
        </w:rPr>
        <w:t>B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uning</w:t>
      </w:r>
      <w:r w:rsid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tarkibiy</w:t>
      </w:r>
      <w:r w:rsid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bo‘lim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lari</w:t>
      </w:r>
      <w:r w:rsid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tomonidan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o‘zining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ustun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holatini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suiiste’mol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qilishga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yuqori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past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narxlarni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o‘rnatishga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kontragentlarga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manfaatsiz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cheklovchi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shartnoma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shartlarini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majburan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qabul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qildirishga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til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biriktirishlar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kelishuvlar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kelishilgan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harakatlarni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aniqlash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boshqa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xo‘jalik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yurituvchi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sub’ektlarning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tovar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bozoriga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kirishiga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to‘siqlar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yaratishga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olib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keladigan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olib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kelishi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mumkin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bo‘lgan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harakatlarni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o‘rganish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3169C314" w14:textId="1E865C52" w:rsidR="008534D8" w:rsidRPr="008534D8" w:rsidRDefault="00912BF4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  <w:lang w:val="uz-Cyrl-UZ"/>
        </w:rPr>
        <w:t>B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>
        <w:rPr>
          <w:rFonts w:ascii="Times New Roman" w:hAnsi="Times New Roman"/>
          <w:noProof/>
          <w:sz w:val="28"/>
          <w:szCs w:val="28"/>
          <w:lang w:val="uz-Cyrl-UZ"/>
        </w:rPr>
        <w:t>ning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tartib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taomillarini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shu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jumladan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savdolar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birja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savdolarini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o‘tkazish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ularda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qatnashish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talablarga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amal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qilishini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o‘rganish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416DA457" w14:textId="116FCDBA" w:rsidR="008534D8" w:rsidRPr="008534D8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lastRenderedPageBreak/>
        <w:t>vujudga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kelish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ehtimoli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bo‘lgan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xavflarni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tahlil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ularning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ro‘yxatini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xaritasi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ko‘rinishida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tuzish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264681C9" w14:textId="7965ECE2" w:rsidR="008534D8" w:rsidRPr="008534D8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talablarining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xavflarini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kamaytirish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ishlab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chiqilgan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amalga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oshirilayotgan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tadbirlarning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samaradorligini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muntazam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ravishda</w:t>
      </w:r>
      <w:r w:rsidR="008534D8" w:rsidRP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baholash</w:t>
      </w:r>
      <w:r w:rsidR="008534D8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1B8CE573" w14:textId="513CA9FA" w:rsidR="00E90A58" w:rsidRPr="00C532FE" w:rsidRDefault="002D26C9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  <w:lang w:val="uz-Cyrl-UZ"/>
        </w:rPr>
        <w:t>B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faoliyatining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xususiyatidan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kelib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chiqqan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hamda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rahbariyat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bilan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kelishilgan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holda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samarali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ishlashiga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qaratilgan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boshqa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chora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tadbirlar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ham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amalga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oshiradi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074B2427" w14:textId="6F873AB6" w:rsidR="00E90A58" w:rsidRPr="00C532FE" w:rsidRDefault="008534D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8</w:t>
      </w:r>
      <w:r w:rsidR="00E90A58"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.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  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aniqlanadigan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vakolatli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shaxs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bo‘lim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)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tomonidan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mazkur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nizomga</w:t>
      </w:r>
      <w:hyperlink r:id="rId4" w:history="1">
        <w:r w:rsidR="00E90A58" w:rsidRPr="00C532FE">
          <w:rPr>
            <w:rFonts w:ascii="Times New Roman" w:eastAsia="Times New Roman" w:hAnsi="Times New Roman" w:cs="Times New Roman"/>
            <w:sz w:val="28"/>
            <w:szCs w:val="28"/>
            <w:lang w:val="uz-Cyrl-UZ"/>
          </w:rPr>
          <w:t xml:space="preserve"> </w:t>
        </w:r>
        <w:r w:rsidR="00861F5A">
          <w:rPr>
            <w:rFonts w:ascii="Times New Roman" w:eastAsia="Times New Roman" w:hAnsi="Times New Roman" w:cs="Times New Roman"/>
            <w:sz w:val="28"/>
            <w:szCs w:val="28"/>
            <w:lang w:val="uz-Cyrl-UZ"/>
          </w:rPr>
          <w:t>ilovaga</w:t>
        </w:r>
        <w:r w:rsidR="00E90A58" w:rsidRPr="00C532FE">
          <w:rPr>
            <w:rFonts w:ascii="Times New Roman" w:eastAsia="Times New Roman" w:hAnsi="Times New Roman" w:cs="Times New Roman"/>
            <w:sz w:val="28"/>
            <w:szCs w:val="28"/>
            <w:lang w:val="uz-Cyrl-UZ"/>
          </w:rPr>
          <w:t xml:space="preserve"> </w:t>
        </w:r>
      </w:hyperlink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muvofiq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darajalar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taqsimlanadi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42CA029B" w14:textId="341777F1" w:rsidR="001A4598" w:rsidRPr="001A4598" w:rsidRDefault="008534D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9</w:t>
      </w:r>
      <w:r w:rsidR="00E90A58"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.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  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buzilishi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xavflari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o‘tkazilgan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baholash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ishlari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asosida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vakolatli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shaxs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bo‘lim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)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tomonidan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tavsifi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tuziladi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unga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xavflarning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paydo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bo‘lish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sabablari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shartlarini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baholash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ishlari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ham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kiritiladi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68B6A88F" w14:textId="266978AE" w:rsidR="00E90A58" w:rsidRPr="00C532FE" w:rsidRDefault="001A459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10.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  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tahlil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aniqlash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baholash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axborot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haqidagi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hisobotga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kiritiladi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12396161" w14:textId="77777777" w:rsidR="00933B93" w:rsidRPr="008534D8" w:rsidRDefault="00933B93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14:paraId="426D5F39" w14:textId="2F3AB007" w:rsidR="000E17D4" w:rsidRPr="00C532FE" w:rsidRDefault="00933B93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861F5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tizimining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ishlash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78EAEF69" w14:textId="1B9A6500" w:rsidR="00E90A58" w:rsidRPr="00C532FE" w:rsidRDefault="00861F5A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samaradorligini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baholash</w:t>
      </w:r>
    </w:p>
    <w:p w14:paraId="36FEBB6E" w14:textId="77777777" w:rsidR="00933B93" w:rsidRDefault="00933B93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67EF89F3" w14:textId="419BF9A3" w:rsidR="00E90A58" w:rsidRPr="00C532FE" w:rsidRDefault="008534D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1</w:t>
      </w:r>
      <w:r w:rsidR="001A4598"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1</w:t>
      </w:r>
      <w:r w:rsidR="00E90A58"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.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  </w:t>
      </w:r>
      <w:r w:rsidR="002D26C9">
        <w:rPr>
          <w:rFonts w:ascii="Times New Roman" w:hAnsi="Times New Roman"/>
          <w:noProof/>
          <w:sz w:val="28"/>
          <w:szCs w:val="28"/>
          <w:lang w:val="uz-Cyrl-UZ"/>
        </w:rPr>
        <w:t>B</w:t>
      </w:r>
      <w:r w:rsidR="002D26C9"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ishlash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samaradorligini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baholash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asosiy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ko‘rsatkichlarni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hisoblash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kurashish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organ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tomonidan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ishlab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chiqilgan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metodika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asosan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hisoblab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boriladi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6B8C2463" w14:textId="6461B6AF" w:rsidR="00E90A58" w:rsidRPr="00C532FE" w:rsidRDefault="008534D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1</w:t>
      </w:r>
      <w:r w:rsidR="001A4598"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2</w:t>
      </w:r>
      <w:r w:rsidR="00E90A58"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.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  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Vakolatli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shaxs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bo‘lim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) </w:t>
      </w:r>
      <w:r w:rsidR="002D26C9" w:rsidRPr="002D26C9">
        <w:rPr>
          <w:rFonts w:ascii="Times New Roman" w:eastAsia="Times New Roman" w:hAnsi="Times New Roman" w:cs="Times New Roman"/>
          <w:sz w:val="28"/>
          <w:szCs w:val="28"/>
          <w:lang w:val="uz-Cyrl-UZ"/>
        </w:rPr>
        <w:t>b</w:t>
      </w:r>
      <w:r w:rsidR="002D26C9"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da</w:t>
      </w:r>
      <w:r w:rsidR="003B081F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erishilgan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asosiy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samaradorlik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ko‘rsatkichlarini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baholaydi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yilda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kamida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bir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marta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2D26C9" w:rsidRPr="002D26C9">
        <w:rPr>
          <w:rFonts w:ascii="Times New Roman" w:eastAsia="Times New Roman" w:hAnsi="Times New Roman" w:cs="Times New Roman"/>
          <w:sz w:val="28"/>
          <w:szCs w:val="28"/>
          <w:lang w:val="uz-Cyrl-UZ"/>
        </w:rPr>
        <w:t>b</w:t>
      </w:r>
      <w:r w:rsidR="002D26C9"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rahbariyatiga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bu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haqida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axborot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kiritadi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7A5CE67E" w14:textId="50650808" w:rsidR="00E90A58" w:rsidRPr="00C532FE" w:rsidRDefault="008534D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1</w:t>
      </w:r>
      <w:r w:rsidR="001A4598"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3</w:t>
      </w:r>
      <w:r w:rsidR="00E90A58"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.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  </w:t>
      </w:r>
      <w:r w:rsidR="002D26C9">
        <w:rPr>
          <w:rFonts w:ascii="Times New Roman" w:hAnsi="Times New Roman"/>
          <w:noProof/>
          <w:sz w:val="28"/>
          <w:szCs w:val="28"/>
          <w:lang w:val="uz-Cyrl-UZ"/>
        </w:rPr>
        <w:t>B</w:t>
      </w:r>
      <w:r w:rsidR="002D26C9"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6647B9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ishlash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samaradorligini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baholash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asosiy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ko‘rsatkichlarga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erishilgani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axborot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haqidagi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hisobotga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kiritiladi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0D7EE68A" w14:textId="77777777" w:rsidR="00933B93" w:rsidRDefault="00933B93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14:paraId="59036BC7" w14:textId="2E3029F5" w:rsidR="00E90A58" w:rsidRPr="00C532FE" w:rsidRDefault="00933B93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861F5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haqidagi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hisobot</w:t>
      </w:r>
    </w:p>
    <w:p w14:paraId="647E9067" w14:textId="77777777" w:rsidR="00933B93" w:rsidRDefault="00933B93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734AA2CE" w14:textId="159F81F9" w:rsidR="00E90A58" w:rsidRPr="00C532FE" w:rsidRDefault="008534D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lastRenderedPageBreak/>
        <w:t>1</w:t>
      </w:r>
      <w:r w:rsidR="001A4598"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4</w:t>
      </w:r>
      <w:r w:rsidR="00E90A58"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.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  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haqidagi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hisobot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quyidagilarni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o‘z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ichiga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qamrab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:</w:t>
      </w:r>
    </w:p>
    <w:p w14:paraId="1154C029" w14:textId="50C490C0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buzilish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xavflari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o‘tkazilgan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baholash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ishlarining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natijalari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hamda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kamaytirish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chora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tadbirlarning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bajarilishi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14:paraId="7B5C9A2A" w14:textId="20CEB687" w:rsidR="00E90A58" w:rsidRPr="00C532FE" w:rsidRDefault="00861F5A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tizimining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asosiy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samaradorlik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ko‘rsatkichlariga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erishilgani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haqidagi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axborot</w:t>
      </w:r>
      <w:r w:rsidR="00E90A58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2A934315" w14:textId="12E95B08" w:rsidR="00E90A58" w:rsidRDefault="00E90A5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1</w:t>
      </w:r>
      <w:r w:rsidR="001A4598"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5</w:t>
      </w: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.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  </w:t>
      </w:r>
      <w:r w:rsidR="000B5251">
        <w:rPr>
          <w:rFonts w:ascii="Times New Roman" w:hAnsi="Times New Roman"/>
          <w:noProof/>
          <w:sz w:val="28"/>
          <w:szCs w:val="28"/>
          <w:lang w:val="uz-Cyrl-UZ"/>
        </w:rPr>
        <w:t>B</w:t>
      </w:r>
      <w:r w:rsidR="000B5251"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6647B9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tomonidan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tasdiqlangan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komplaens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hisobot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0B5251" w:rsidRPr="000B5251">
        <w:rPr>
          <w:rFonts w:ascii="Times New Roman" w:eastAsia="Times New Roman" w:hAnsi="Times New Roman" w:cs="Times New Roman"/>
          <w:sz w:val="28"/>
          <w:szCs w:val="28"/>
          <w:lang w:val="uz-Cyrl-UZ"/>
        </w:rPr>
        <w:t>b</w:t>
      </w:r>
      <w:r w:rsidR="000B5251"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0B5251">
        <w:rPr>
          <w:rFonts w:ascii="Times New Roman" w:hAnsi="Times New Roman"/>
          <w:noProof/>
          <w:sz w:val="28"/>
          <w:szCs w:val="28"/>
          <w:lang w:val="uz-Cyrl-UZ"/>
        </w:rPr>
        <w:t>ning</w:t>
      </w:r>
      <w:r w:rsidR="003B081F"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rasmiy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veb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saytida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joylashtiriladi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uch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ish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kuni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ichida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monopoliyaga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qarshi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kurashish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organiga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yuboriladi</w:t>
      </w:r>
      <w:r w:rsidRPr="00C532FE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741E2216" w14:textId="430EAD17" w:rsidR="00F31228" w:rsidRDefault="00F3122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1787F3E8" w14:textId="27F7BCE9" w:rsidR="00F31228" w:rsidRPr="00F31228" w:rsidRDefault="00F31228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  <w:r w:rsidRPr="00E33631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VI.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Yakunlovchi</w:t>
      </w:r>
      <w:r w:rsidRPr="00F31228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qoidalar</w:t>
      </w:r>
    </w:p>
    <w:p w14:paraId="58FF8970" w14:textId="77777777" w:rsidR="00F31228" w:rsidRDefault="00F3122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55A4D65C" w14:textId="752CFEA3" w:rsidR="00F31228" w:rsidRPr="00F31228" w:rsidRDefault="00F3122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16.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  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Mazkur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nizomni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qo‘llash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bilan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bog‘liq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nizolar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hujjatlarida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hamda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A94EE8" w:rsidRPr="00A94EE8">
        <w:rPr>
          <w:rFonts w:ascii="Times New Roman" w:eastAsia="Times New Roman" w:hAnsi="Times New Roman" w:cs="Times New Roman"/>
          <w:sz w:val="28"/>
          <w:szCs w:val="28"/>
          <w:lang w:val="uz-Cyrl-UZ"/>
        </w:rPr>
        <w:t>Sanepidqo‘m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ning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ichki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idoraviy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hujjatlarida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belgilangan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tartibda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hal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etiladi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25131204" w14:textId="382A4AC8" w:rsidR="00F31228" w:rsidRPr="00C532FE" w:rsidRDefault="00F3122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B081F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17.</w:t>
      </w:r>
      <w:r w:rsidR="003B081F" w:rsidRP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>  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Mazkur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nizom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talablarini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buzishda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aybdor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bo‘lgan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shaxslar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qonunchilik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hujjatlarida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hamda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0B5251" w:rsidRPr="000B5251">
        <w:rPr>
          <w:rFonts w:ascii="Times New Roman" w:eastAsia="Times New Roman" w:hAnsi="Times New Roman" w:cs="Times New Roman"/>
          <w:sz w:val="28"/>
          <w:szCs w:val="28"/>
          <w:lang w:val="uz-Cyrl-UZ"/>
        </w:rPr>
        <w:t>b</w:t>
      </w:r>
      <w:r w:rsidR="000B5251">
        <w:rPr>
          <w:rFonts w:ascii="Times New Roman" w:hAnsi="Times New Roman"/>
          <w:bCs/>
          <w:noProof/>
          <w:sz w:val="28"/>
          <w:szCs w:val="28"/>
          <w:lang w:val="uz-Cyrl-UZ"/>
        </w:rPr>
        <w:t>oshqarma</w:t>
      </w:r>
      <w:r w:rsidR="000B5251">
        <w:rPr>
          <w:rFonts w:ascii="Times New Roman" w:hAnsi="Times New Roman"/>
          <w:noProof/>
          <w:sz w:val="28"/>
          <w:szCs w:val="28"/>
          <w:lang w:val="uz-Cyrl-UZ"/>
        </w:rPr>
        <w:t>ning</w:t>
      </w:r>
      <w:r w:rsidR="003B081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ichki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idoraviy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hujjatlarida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belgilangan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tartibda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javobgar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lang w:val="uz-Cyrl-UZ"/>
        </w:rPr>
        <w:t>bo‘ladilar</w:t>
      </w:r>
      <w:r w:rsidRPr="00F31228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14:paraId="6E813FFD" w14:textId="77777777" w:rsidR="00E90A58" w:rsidRPr="00C532FE" w:rsidRDefault="00E90A58" w:rsidP="00F31228">
      <w:pPr>
        <w:shd w:val="clear" w:color="auto" w:fill="FFFFFF"/>
        <w:spacing w:after="0" w:line="312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273E05CB" w14:textId="77777777" w:rsidR="006647B9" w:rsidRDefault="006647B9" w:rsidP="00F31228">
      <w:pPr>
        <w:spacing w:after="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br w:type="page"/>
      </w:r>
    </w:p>
    <w:p w14:paraId="4BC456D5" w14:textId="1D82FFBB" w:rsidR="006647B9" w:rsidRPr="006647B9" w:rsidRDefault="00A94EE8" w:rsidP="00F31228">
      <w:pPr>
        <w:shd w:val="clear" w:color="auto" w:fill="FFFFFF"/>
        <w:spacing w:after="0" w:line="312" w:lineRule="auto"/>
        <w:ind w:left="4956" w:firstLine="708"/>
        <w:contextualSpacing/>
        <w:jc w:val="right"/>
        <w:rPr>
          <w:rFonts w:ascii="Times New Roman" w:eastAsia="Times New Roman" w:hAnsi="Times New Roman" w:cs="Times New Roman"/>
          <w:lang w:val="uz-Cyrl-UZ"/>
        </w:rPr>
      </w:pPr>
      <w:r w:rsidRPr="00A94EE8">
        <w:rPr>
          <w:rFonts w:ascii="Times New Roman" w:eastAsia="Times New Roman" w:hAnsi="Times New Roman" w:cs="Times New Roman"/>
          <w:lang w:val="uz-Cyrl-UZ"/>
        </w:rPr>
        <w:lastRenderedPageBreak/>
        <w:t xml:space="preserve">Sanitariya-epidemiologik osoyishtalik va </w:t>
      </w:r>
      <w:r>
        <w:rPr>
          <w:rFonts w:ascii="Times New Roman" w:eastAsia="Times New Roman" w:hAnsi="Times New Roman" w:cs="Times New Roman"/>
          <w:lang w:val="uz-Cyrl-UZ"/>
        </w:rPr>
        <w:t xml:space="preserve">jamoat salomatligi </w:t>
      </w:r>
      <w:r w:rsidR="00535045">
        <w:rPr>
          <w:rFonts w:ascii="Times New Roman" w:eastAsia="Times New Roman" w:hAnsi="Times New Roman" w:cs="Times New Roman"/>
          <w:lang w:val="en-US"/>
        </w:rPr>
        <w:t>boshqarm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uz-Cyrl-UZ"/>
        </w:rPr>
        <w:t>asida</w:t>
      </w:r>
      <w:r w:rsidR="006647B9" w:rsidRPr="006647B9">
        <w:rPr>
          <w:rFonts w:ascii="Times New Roman" w:eastAsia="Times New Roman" w:hAnsi="Times New Roman" w:cs="Times New Roman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lang w:val="uz-Cyrl-UZ"/>
        </w:rPr>
        <w:t>monopoliyaga</w:t>
      </w:r>
      <w:r w:rsidR="006647B9" w:rsidRPr="006647B9">
        <w:rPr>
          <w:rFonts w:ascii="Times New Roman" w:eastAsia="Times New Roman" w:hAnsi="Times New Roman" w:cs="Times New Roman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lang w:val="uz-Cyrl-UZ"/>
        </w:rPr>
        <w:t>qarshi</w:t>
      </w:r>
      <w:r w:rsidR="006647B9" w:rsidRPr="006647B9">
        <w:rPr>
          <w:rFonts w:ascii="Times New Roman" w:eastAsia="Times New Roman" w:hAnsi="Times New Roman" w:cs="Times New Roman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lang w:val="uz-Cyrl-UZ"/>
        </w:rPr>
        <w:t>komplaens</w:t>
      </w:r>
      <w:r w:rsidR="006647B9" w:rsidRPr="006647B9">
        <w:rPr>
          <w:rFonts w:ascii="Times New Roman" w:eastAsia="Times New Roman" w:hAnsi="Times New Roman" w:cs="Times New Roman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lang w:val="uz-Cyrl-UZ"/>
        </w:rPr>
        <w:t>tizimini</w:t>
      </w:r>
      <w:r w:rsidR="006647B9" w:rsidRPr="006647B9">
        <w:rPr>
          <w:rFonts w:ascii="Times New Roman" w:eastAsia="Times New Roman" w:hAnsi="Times New Roman" w:cs="Times New Roman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lang w:val="uz-Cyrl-UZ"/>
        </w:rPr>
        <w:t>joriy</w:t>
      </w:r>
      <w:r w:rsidR="006647B9" w:rsidRPr="006647B9">
        <w:rPr>
          <w:rFonts w:ascii="Times New Roman" w:eastAsia="Times New Roman" w:hAnsi="Times New Roman" w:cs="Times New Roman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lang w:val="uz-Cyrl-UZ"/>
        </w:rPr>
        <w:t>etish</w:t>
      </w:r>
      <w:r w:rsidR="006647B9" w:rsidRPr="006647B9">
        <w:rPr>
          <w:rFonts w:ascii="Times New Roman" w:eastAsia="Times New Roman" w:hAnsi="Times New Roman" w:cs="Times New Roman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lang w:val="uz-Cyrl-UZ"/>
        </w:rPr>
        <w:t>va</w:t>
      </w:r>
      <w:r w:rsidR="006647B9" w:rsidRPr="006647B9">
        <w:rPr>
          <w:rFonts w:ascii="Times New Roman" w:eastAsia="Times New Roman" w:hAnsi="Times New Roman" w:cs="Times New Roman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lang w:val="uz-Cyrl-UZ"/>
        </w:rPr>
        <w:t>uning</w:t>
      </w:r>
      <w:r w:rsidR="006647B9" w:rsidRPr="006647B9">
        <w:rPr>
          <w:rFonts w:ascii="Times New Roman" w:eastAsia="Times New Roman" w:hAnsi="Times New Roman" w:cs="Times New Roman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lang w:val="uz-Cyrl-UZ"/>
        </w:rPr>
        <w:t>ishlash</w:t>
      </w:r>
      <w:r w:rsidR="006647B9" w:rsidRPr="006647B9">
        <w:rPr>
          <w:rFonts w:ascii="Times New Roman" w:eastAsia="Times New Roman" w:hAnsi="Times New Roman" w:cs="Times New Roman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lang w:val="uz-Cyrl-UZ"/>
        </w:rPr>
        <w:t>tartibi</w:t>
      </w:r>
      <w:r w:rsidR="006647B9" w:rsidRPr="006647B9">
        <w:rPr>
          <w:rFonts w:ascii="Times New Roman" w:eastAsia="Times New Roman" w:hAnsi="Times New Roman" w:cs="Times New Roman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lang w:val="uz-Cyrl-UZ"/>
        </w:rPr>
        <w:t>to‘g‘risida</w:t>
      </w:r>
      <w:r w:rsidR="006647B9">
        <w:rPr>
          <w:rFonts w:ascii="Times New Roman" w:eastAsia="Times New Roman" w:hAnsi="Times New Roman" w:cs="Times New Roman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lang w:val="uz-Cyrl-UZ"/>
        </w:rPr>
        <w:t>Nizomga</w:t>
      </w:r>
    </w:p>
    <w:p w14:paraId="6F80B210" w14:textId="5708AC0D" w:rsidR="00E90A58" w:rsidRPr="00C532FE" w:rsidRDefault="00861F5A" w:rsidP="00F31228">
      <w:pPr>
        <w:shd w:val="clear" w:color="auto" w:fill="FFFFFF"/>
        <w:spacing w:after="0" w:line="312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ILOVA</w:t>
      </w:r>
    </w:p>
    <w:p w14:paraId="18312D22" w14:textId="77777777" w:rsidR="006647B9" w:rsidRDefault="006647B9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14:paraId="373BF20B" w14:textId="58E32B63" w:rsidR="00E90A58" w:rsidRPr="00C532FE" w:rsidRDefault="00861F5A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Raqobat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to‘g‘risidagi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qonunchilik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hujjatlari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talablarining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11C16EEF" w14:textId="5914A358" w:rsidR="00E90A58" w:rsidRPr="00C532FE" w:rsidRDefault="00861F5A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buzilish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darajasi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>bo‘yicha</w:t>
      </w:r>
      <w:r w:rsidR="00E90A58" w:rsidRPr="00C532FE"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44C97F9F" w14:textId="49AE840F" w:rsidR="00E90A58" w:rsidRPr="00C532FE" w:rsidRDefault="00861F5A" w:rsidP="00F31228">
      <w:pPr>
        <w:shd w:val="clear" w:color="auto" w:fill="FFFFFF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uz-Cyrl-UZ"/>
        </w:rPr>
        <w:t>NAMUNAVIY</w:t>
      </w:r>
      <w:r w:rsidR="00E90A58" w:rsidRPr="00C532FE">
        <w:rPr>
          <w:rFonts w:ascii="Times New Roman" w:eastAsia="Times New Roman" w:hAnsi="Times New Roman" w:cs="Times New Roman"/>
          <w:caps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aps/>
          <w:sz w:val="28"/>
          <w:szCs w:val="28"/>
          <w:lang w:val="uz-Cyrl-UZ"/>
        </w:rPr>
        <w:t>XAVFLAR</w:t>
      </w:r>
      <w:r w:rsidR="00E90A58" w:rsidRPr="00C532FE">
        <w:rPr>
          <w:rFonts w:ascii="Times New Roman" w:eastAsia="Times New Roman" w:hAnsi="Times New Roman" w:cs="Times New Roman"/>
          <w:caps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aps/>
          <w:sz w:val="28"/>
          <w:szCs w:val="28"/>
          <w:lang w:val="uz-Cyrl-UZ"/>
        </w:rPr>
        <w:t>TASNIFI</w:t>
      </w:r>
      <w:hyperlink r:id="rId5" w:history="1">
        <w:r w:rsidR="00E90A58" w:rsidRPr="00C532FE">
          <w:rPr>
            <w:rFonts w:ascii="Times New Roman" w:eastAsia="Times New Roman" w:hAnsi="Times New Roman" w:cs="Times New Roman"/>
            <w:caps/>
            <w:sz w:val="28"/>
            <w:szCs w:val="28"/>
            <w:lang w:val="uz-Cyrl-UZ"/>
          </w:rPr>
          <w:t>*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2262"/>
        <w:gridCol w:w="2169"/>
        <w:gridCol w:w="2169"/>
      </w:tblGrid>
      <w:tr w:rsidR="00E90A58" w:rsidRPr="00C532FE" w14:paraId="694A0580" w14:textId="77777777" w:rsidTr="001A4598">
        <w:trPr>
          <w:trHeight w:val="608"/>
        </w:trPr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31C477" w14:textId="6B36C871" w:rsidR="00E90A58" w:rsidRPr="00C532FE" w:rsidRDefault="00861F5A" w:rsidP="00F31228">
            <w:pPr>
              <w:spacing w:after="0" w:line="312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Ehtimollikni</w:t>
            </w:r>
            <w:r w:rsidR="00E90A58" w:rsidRPr="00C53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baholash</w:t>
            </w:r>
            <w:r w:rsidR="00E90A58" w:rsidRPr="00C53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E90A58" w:rsidRPr="00C53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br/>
            </w:r>
            <w:r w:rsidR="00E90A58" w:rsidRPr="00C532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yuz</w:t>
            </w:r>
            <w:r w:rsidR="00E90A58" w:rsidRPr="00C532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berish</w:t>
            </w:r>
            <w:r w:rsidR="00E90A58" w:rsidRPr="00C532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ehtimollari</w:t>
            </w:r>
            <w:r w:rsidR="00E90A58" w:rsidRPr="00C532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)</w:t>
            </w:r>
          </w:p>
        </w:tc>
        <w:tc>
          <w:tcPr>
            <w:tcW w:w="35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4ACA91" w14:textId="7492324F" w:rsidR="00E90A58" w:rsidRPr="00C532FE" w:rsidRDefault="00861F5A" w:rsidP="00F31228">
            <w:pPr>
              <w:spacing w:after="0" w:line="312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Oqibatlar</w:t>
            </w:r>
            <w:r w:rsidR="00E90A58" w:rsidRPr="00C53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darajasi</w:t>
            </w:r>
          </w:p>
        </w:tc>
      </w:tr>
      <w:tr w:rsidR="00E90A58" w:rsidRPr="00C532FE" w14:paraId="4CDCC8B1" w14:textId="77777777" w:rsidTr="00A557F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1E95F" w14:textId="77777777" w:rsidR="00E90A58" w:rsidRPr="00C532FE" w:rsidRDefault="00E90A58" w:rsidP="00F31228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22D49A" w14:textId="14A304D9" w:rsidR="00E90A58" w:rsidRPr="00C532FE" w:rsidRDefault="00861F5A" w:rsidP="00F31228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Past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42F1C8" w14:textId="1B11FBEB" w:rsidR="00E90A58" w:rsidRPr="00C532FE" w:rsidRDefault="00861F5A" w:rsidP="00F31228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O‘rtacha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427DB0" w14:textId="62933EF1" w:rsidR="00E90A58" w:rsidRPr="00C532FE" w:rsidRDefault="00861F5A" w:rsidP="00F31228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Yuqori</w:t>
            </w:r>
          </w:p>
        </w:tc>
      </w:tr>
      <w:tr w:rsidR="00E90A58" w:rsidRPr="00C532FE" w14:paraId="582BE143" w14:textId="77777777" w:rsidTr="001A4598">
        <w:trPr>
          <w:trHeight w:val="628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0BFC9A" w14:textId="3AD9CFDD" w:rsidR="00E90A58" w:rsidRPr="00C532FE" w:rsidRDefault="00861F5A" w:rsidP="00F31228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Yuqori</w:t>
            </w:r>
            <w:r w:rsidR="00E90A58" w:rsidRPr="00C53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ehtimollik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E672AA" w14:textId="77777777" w:rsidR="00E90A58" w:rsidRPr="00C532FE" w:rsidRDefault="00E90A58" w:rsidP="00F31228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C9D1FB" w14:textId="77777777" w:rsidR="00E90A58" w:rsidRPr="00C532FE" w:rsidRDefault="00E90A58" w:rsidP="00F31228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894514" w14:textId="77777777" w:rsidR="00E90A58" w:rsidRPr="00C532FE" w:rsidRDefault="00E90A58" w:rsidP="00F31228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E90A58" w:rsidRPr="00C532FE" w14:paraId="5826AD0A" w14:textId="77777777" w:rsidTr="001A4598">
        <w:trPr>
          <w:trHeight w:val="552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6DAEBE" w14:textId="434586F5" w:rsidR="00E90A58" w:rsidRPr="00C532FE" w:rsidRDefault="00861F5A" w:rsidP="00F31228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O‘rtacha</w:t>
            </w:r>
            <w:r w:rsidR="00E90A58" w:rsidRPr="00C53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ehtimollik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D57BF9" w14:textId="77777777" w:rsidR="00E90A58" w:rsidRPr="00C532FE" w:rsidRDefault="00E90A58" w:rsidP="00F31228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01EE34" w14:textId="77777777" w:rsidR="00E90A58" w:rsidRPr="00C532FE" w:rsidRDefault="00E90A58" w:rsidP="00F31228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1C0634" w14:textId="77777777" w:rsidR="00E90A58" w:rsidRPr="00C532FE" w:rsidRDefault="00E90A58" w:rsidP="00F31228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E90A58" w:rsidRPr="00C532FE" w14:paraId="713AEA2F" w14:textId="77777777" w:rsidTr="001A4598">
        <w:trPr>
          <w:trHeight w:val="688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C942A8" w14:textId="7896C4AE" w:rsidR="00E90A58" w:rsidRPr="00C532FE" w:rsidRDefault="00861F5A" w:rsidP="00F31228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Past</w:t>
            </w:r>
            <w:r w:rsidR="00E90A58" w:rsidRPr="00C53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ehtimollik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0F01B1" w14:textId="77777777" w:rsidR="00E90A58" w:rsidRPr="00C532FE" w:rsidRDefault="00E90A58" w:rsidP="00F31228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C0DB42" w14:textId="77777777" w:rsidR="00E90A58" w:rsidRPr="00C532FE" w:rsidRDefault="00E90A58" w:rsidP="00F31228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A86BC2" w14:textId="77777777" w:rsidR="00E90A58" w:rsidRPr="00C532FE" w:rsidRDefault="00E90A58" w:rsidP="00F31228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</w:tbl>
    <w:p w14:paraId="76366660" w14:textId="77777777" w:rsidR="001A4598" w:rsidRDefault="001A459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</w:p>
    <w:p w14:paraId="7C36FEE3" w14:textId="16050B7F" w:rsidR="00E90A58" w:rsidRPr="00C532FE" w:rsidRDefault="00E90A58" w:rsidP="00F31228">
      <w:pPr>
        <w:shd w:val="clear" w:color="auto" w:fill="FFFFFF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*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Raqobat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to‘g‘risidagi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qonunchilik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hujjatlari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talablarining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buzilish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darajasi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bo‘yicha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xavflar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tasnifi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tavsiyaviy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ahamiyatga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ega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bo‘lib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,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bozor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faoliyatining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o‘ziga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xos</w:t>
      </w:r>
      <w:r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xususiyatiga</w:t>
      </w:r>
      <w:r w:rsidR="000E17D4"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qarab</w:t>
      </w:r>
      <w:r w:rsidR="000E17D4"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o‘zgartirilishi</w:t>
      </w:r>
      <w:r w:rsidR="000E17D4"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 w:rsidR="00861F5A">
        <w:rPr>
          <w:rFonts w:ascii="Times New Roman" w:eastAsia="Times New Roman" w:hAnsi="Times New Roman" w:cs="Times New Roman"/>
          <w:sz w:val="20"/>
          <w:szCs w:val="20"/>
          <w:lang w:val="uz-Cyrl-UZ"/>
        </w:rPr>
        <w:t>mumkin</w:t>
      </w:r>
      <w:r w:rsidR="000E17D4" w:rsidRPr="00C532FE">
        <w:rPr>
          <w:rFonts w:ascii="Times New Roman" w:eastAsia="Times New Roman" w:hAnsi="Times New Roman" w:cs="Times New Roman"/>
          <w:sz w:val="20"/>
          <w:szCs w:val="20"/>
          <w:lang w:val="uz-Cyrl-UZ"/>
        </w:rPr>
        <w:t>.</w:t>
      </w:r>
    </w:p>
    <w:sectPr w:rsidR="00E90A58" w:rsidRPr="00C532FE" w:rsidSect="00F312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D7"/>
    <w:rsid w:val="00006208"/>
    <w:rsid w:val="00015EAF"/>
    <w:rsid w:val="000A1CB7"/>
    <w:rsid w:val="000B22B5"/>
    <w:rsid w:val="000B5251"/>
    <w:rsid w:val="000E17D4"/>
    <w:rsid w:val="001A4598"/>
    <w:rsid w:val="00284BD9"/>
    <w:rsid w:val="002937A3"/>
    <w:rsid w:val="002D26C9"/>
    <w:rsid w:val="002F6276"/>
    <w:rsid w:val="002F6EBB"/>
    <w:rsid w:val="003B081F"/>
    <w:rsid w:val="00430225"/>
    <w:rsid w:val="00535045"/>
    <w:rsid w:val="00572048"/>
    <w:rsid w:val="0066097A"/>
    <w:rsid w:val="006647B9"/>
    <w:rsid w:val="006A4122"/>
    <w:rsid w:val="006F49D7"/>
    <w:rsid w:val="00744183"/>
    <w:rsid w:val="007776C9"/>
    <w:rsid w:val="008534D8"/>
    <w:rsid w:val="00861F5A"/>
    <w:rsid w:val="00912BF4"/>
    <w:rsid w:val="0093273D"/>
    <w:rsid w:val="00933B93"/>
    <w:rsid w:val="00942422"/>
    <w:rsid w:val="00960535"/>
    <w:rsid w:val="0098743D"/>
    <w:rsid w:val="009B1757"/>
    <w:rsid w:val="00A94EE8"/>
    <w:rsid w:val="00AB18F6"/>
    <w:rsid w:val="00AD486E"/>
    <w:rsid w:val="00B17C8E"/>
    <w:rsid w:val="00B23A8B"/>
    <w:rsid w:val="00B3374A"/>
    <w:rsid w:val="00B3565A"/>
    <w:rsid w:val="00BD1927"/>
    <w:rsid w:val="00C45D87"/>
    <w:rsid w:val="00C532FE"/>
    <w:rsid w:val="00C56BDB"/>
    <w:rsid w:val="00CB23B1"/>
    <w:rsid w:val="00D20E2A"/>
    <w:rsid w:val="00E33631"/>
    <w:rsid w:val="00E46538"/>
    <w:rsid w:val="00E90A58"/>
    <w:rsid w:val="00EF1623"/>
    <w:rsid w:val="00F03B36"/>
    <w:rsid w:val="00F31228"/>
    <w:rsid w:val="00F51813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D990"/>
  <w15:chartTrackingRefBased/>
  <w15:docId w15:val="{C6EAA82C-F58A-4F28-B150-13A4105E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9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69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193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70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469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scrollText(5318574)" TargetMode="External"/><Relationship Id="rId4" Type="http://schemas.openxmlformats.org/officeDocument/2006/relationships/hyperlink" Target="javascript:scrollText(5318564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Тоҳир А. Абдурашидов</dc:creator>
  <cp:keywords/>
  <dc:description/>
  <cp:lastModifiedBy>Пользователь</cp:lastModifiedBy>
  <cp:revision>11</cp:revision>
  <dcterms:created xsi:type="dcterms:W3CDTF">2025-07-15T06:05:00Z</dcterms:created>
  <dcterms:modified xsi:type="dcterms:W3CDTF">2025-07-24T11:12:00Z</dcterms:modified>
</cp:coreProperties>
</file>